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BEBD2CA"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96EFF">
        <w:t>22</w:t>
      </w:r>
      <w:r w:rsidR="005420B4" w:rsidRPr="00893890">
        <w:t>.</w:t>
      </w:r>
      <w:r w:rsidR="00296EFF">
        <w:t xml:space="preserve"> </w:t>
      </w:r>
      <w:r w:rsidR="001A6ED5">
        <w:t>listopadu</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5137B752" w:rsidR="007D3B29" w:rsidRDefault="006D2153" w:rsidP="002A2D40">
      <w:pPr>
        <w:pStyle w:val="paragraph"/>
        <w:spacing w:before="0" w:beforeAutospacing="0" w:after="0" w:afterAutospacing="0" w:line="276" w:lineRule="auto"/>
        <w:jc w:val="both"/>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sidR="007E4CDB">
        <w:rPr>
          <w:rStyle w:val="normaltextrun"/>
          <w:rFonts w:ascii="Arial" w:hAnsi="Arial" w:cs="Arial"/>
          <w:b/>
          <w:bCs/>
          <w:color w:val="000000"/>
          <w:sz w:val="28"/>
          <w:szCs w:val="28"/>
          <w:lang w:val="cs-CZ"/>
        </w:rPr>
        <w:t xml:space="preserve"> rozšiřuje nabídku ETF</w:t>
      </w:r>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53FBF2B2" w14:textId="77777777" w:rsidR="007E4CDB" w:rsidRPr="007E4CDB" w:rsidRDefault="007E4CDB" w:rsidP="007E4CDB">
      <w:pPr>
        <w:spacing w:line="240" w:lineRule="auto"/>
        <w:rPr>
          <w:rFonts w:asciiTheme="minorHAnsi" w:hAnsiTheme="minorHAnsi" w:cstheme="minorHAnsi"/>
          <w:b/>
          <w:bCs/>
          <w:sz w:val="24"/>
          <w:szCs w:val="24"/>
        </w:rPr>
      </w:pPr>
      <w:r w:rsidRPr="007E4CDB">
        <w:rPr>
          <w:rFonts w:asciiTheme="minorHAnsi" w:hAnsiTheme="minorHAnsi" w:cstheme="minorHAnsi"/>
          <w:b/>
          <w:bCs/>
          <w:sz w:val="24"/>
          <w:szCs w:val="24"/>
        </w:rPr>
        <w:t xml:space="preserve">Společnost </w:t>
      </w:r>
      <w:proofErr w:type="spellStart"/>
      <w:r w:rsidRPr="007E4CDB">
        <w:rPr>
          <w:rFonts w:asciiTheme="minorHAnsi" w:hAnsiTheme="minorHAnsi" w:cstheme="minorHAnsi"/>
          <w:b/>
          <w:bCs/>
          <w:sz w:val="24"/>
          <w:szCs w:val="24"/>
        </w:rPr>
        <w:t>Fidelity</w:t>
      </w:r>
      <w:proofErr w:type="spellEnd"/>
      <w:r w:rsidRPr="007E4CDB">
        <w:rPr>
          <w:rFonts w:asciiTheme="minorHAnsi" w:hAnsiTheme="minorHAnsi" w:cstheme="minorHAnsi"/>
          <w:b/>
          <w:bCs/>
          <w:sz w:val="24"/>
          <w:szCs w:val="24"/>
        </w:rPr>
        <w:t xml:space="preserve"> International ("</w:t>
      </w:r>
      <w:proofErr w:type="spellStart"/>
      <w:r w:rsidRPr="007E4CDB">
        <w:rPr>
          <w:rFonts w:asciiTheme="minorHAnsi" w:hAnsiTheme="minorHAnsi" w:cstheme="minorHAnsi"/>
          <w:b/>
          <w:bCs/>
          <w:sz w:val="24"/>
          <w:szCs w:val="24"/>
        </w:rPr>
        <w:t>Fidelity</w:t>
      </w:r>
      <w:proofErr w:type="spellEnd"/>
      <w:r w:rsidRPr="007E4CDB">
        <w:rPr>
          <w:rFonts w:asciiTheme="minorHAnsi" w:hAnsiTheme="minorHAnsi" w:cstheme="minorHAnsi"/>
          <w:b/>
          <w:bCs/>
          <w:sz w:val="24"/>
          <w:szCs w:val="24"/>
        </w:rPr>
        <w:t xml:space="preserve">") rozšiřuje svou nabídku ETF o dvě aktivní ETF s pevným výnosem. </w:t>
      </w:r>
      <w:proofErr w:type="spellStart"/>
      <w:r w:rsidRPr="007E4CDB">
        <w:rPr>
          <w:rFonts w:asciiTheme="minorHAnsi" w:hAnsiTheme="minorHAnsi" w:cstheme="minorHAnsi"/>
          <w:b/>
          <w:bCs/>
          <w:sz w:val="24"/>
          <w:szCs w:val="24"/>
        </w:rPr>
        <w:t>Fidelity</w:t>
      </w:r>
      <w:proofErr w:type="spellEnd"/>
      <w:r w:rsidRPr="007E4CDB">
        <w:rPr>
          <w:rFonts w:asciiTheme="minorHAnsi" w:hAnsiTheme="minorHAnsi" w:cstheme="minorHAnsi"/>
          <w:b/>
          <w:bCs/>
          <w:sz w:val="24"/>
          <w:szCs w:val="24"/>
        </w:rPr>
        <w:t xml:space="preserve"> UCITS II </w:t>
      </w:r>
      <w:proofErr w:type="gramStart"/>
      <w:r w:rsidRPr="007E4CDB">
        <w:rPr>
          <w:rFonts w:asciiTheme="minorHAnsi" w:hAnsiTheme="minorHAnsi" w:cstheme="minorHAnsi"/>
          <w:b/>
          <w:bCs/>
          <w:sz w:val="24"/>
          <w:szCs w:val="24"/>
        </w:rPr>
        <w:t xml:space="preserve">ICAV - </w:t>
      </w:r>
      <w:proofErr w:type="spellStart"/>
      <w:r w:rsidRPr="007E4CDB">
        <w:rPr>
          <w:rFonts w:asciiTheme="minorHAnsi" w:hAnsiTheme="minorHAnsi" w:cstheme="minorHAnsi"/>
          <w:b/>
          <w:bCs/>
          <w:sz w:val="24"/>
          <w:szCs w:val="24"/>
        </w:rPr>
        <w:t>Fidelity</w:t>
      </w:r>
      <w:proofErr w:type="spellEnd"/>
      <w:proofErr w:type="gramEnd"/>
      <w:r w:rsidRPr="007E4CDB">
        <w:rPr>
          <w:rFonts w:asciiTheme="minorHAnsi" w:hAnsiTheme="minorHAnsi" w:cstheme="minorHAnsi"/>
          <w:b/>
          <w:bCs/>
          <w:sz w:val="24"/>
          <w:szCs w:val="24"/>
        </w:rPr>
        <w:t xml:space="preserve"> </w:t>
      </w:r>
      <w:proofErr w:type="spellStart"/>
      <w:r w:rsidRPr="007E4CDB">
        <w:rPr>
          <w:rFonts w:asciiTheme="minorHAnsi" w:hAnsiTheme="minorHAnsi" w:cstheme="minorHAnsi"/>
          <w:b/>
          <w:bCs/>
          <w:sz w:val="24"/>
          <w:szCs w:val="24"/>
        </w:rPr>
        <w:t>Sustainable</w:t>
      </w:r>
      <w:proofErr w:type="spellEnd"/>
      <w:r w:rsidRPr="007E4CDB">
        <w:rPr>
          <w:rFonts w:asciiTheme="minorHAnsi" w:hAnsiTheme="minorHAnsi" w:cstheme="minorHAnsi"/>
          <w:b/>
          <w:bCs/>
          <w:sz w:val="24"/>
          <w:szCs w:val="24"/>
        </w:rPr>
        <w:t xml:space="preserve"> EUR </w:t>
      </w:r>
      <w:proofErr w:type="spellStart"/>
      <w:r w:rsidRPr="007E4CDB">
        <w:rPr>
          <w:rFonts w:asciiTheme="minorHAnsi" w:hAnsiTheme="minorHAnsi" w:cstheme="minorHAnsi"/>
          <w:b/>
          <w:bCs/>
          <w:sz w:val="24"/>
          <w:szCs w:val="24"/>
        </w:rPr>
        <w:t>Corporate</w:t>
      </w:r>
      <w:proofErr w:type="spellEnd"/>
      <w:r w:rsidRPr="007E4CDB">
        <w:rPr>
          <w:rFonts w:asciiTheme="minorHAnsi" w:hAnsiTheme="minorHAnsi" w:cstheme="minorHAnsi"/>
          <w:b/>
          <w:bCs/>
          <w:sz w:val="24"/>
          <w:szCs w:val="24"/>
        </w:rPr>
        <w:t xml:space="preserve"> Bond - Paris </w:t>
      </w:r>
      <w:proofErr w:type="spellStart"/>
      <w:r w:rsidRPr="007E4CDB">
        <w:rPr>
          <w:rFonts w:asciiTheme="minorHAnsi" w:hAnsiTheme="minorHAnsi" w:cstheme="minorHAnsi"/>
          <w:b/>
          <w:bCs/>
          <w:sz w:val="24"/>
          <w:szCs w:val="24"/>
        </w:rPr>
        <w:t>Aligned</w:t>
      </w:r>
      <w:proofErr w:type="spellEnd"/>
      <w:r w:rsidRPr="007E4CDB">
        <w:rPr>
          <w:rFonts w:asciiTheme="minorHAnsi" w:hAnsiTheme="minorHAnsi" w:cstheme="minorHAnsi"/>
          <w:b/>
          <w:bCs/>
          <w:sz w:val="24"/>
          <w:szCs w:val="24"/>
        </w:rPr>
        <w:t xml:space="preserve"> </w:t>
      </w:r>
      <w:proofErr w:type="spellStart"/>
      <w:r w:rsidRPr="007E4CDB">
        <w:rPr>
          <w:rFonts w:asciiTheme="minorHAnsi" w:hAnsiTheme="minorHAnsi" w:cstheme="minorHAnsi"/>
          <w:b/>
          <w:bCs/>
          <w:sz w:val="24"/>
          <w:szCs w:val="24"/>
        </w:rPr>
        <w:t>Multifactor</w:t>
      </w:r>
      <w:proofErr w:type="spellEnd"/>
      <w:r w:rsidRPr="007E4CDB">
        <w:rPr>
          <w:rFonts w:asciiTheme="minorHAnsi" w:hAnsiTheme="minorHAnsi" w:cstheme="minorHAnsi"/>
          <w:b/>
          <w:bCs/>
          <w:sz w:val="24"/>
          <w:szCs w:val="24"/>
        </w:rPr>
        <w:t xml:space="preserve"> UCITS ETF a </w:t>
      </w:r>
      <w:proofErr w:type="spellStart"/>
      <w:r w:rsidRPr="007E4CDB">
        <w:rPr>
          <w:rFonts w:asciiTheme="minorHAnsi" w:hAnsiTheme="minorHAnsi" w:cstheme="minorHAnsi"/>
          <w:b/>
          <w:bCs/>
          <w:sz w:val="24"/>
          <w:szCs w:val="24"/>
        </w:rPr>
        <w:t>Fidelity</w:t>
      </w:r>
      <w:proofErr w:type="spellEnd"/>
      <w:r w:rsidRPr="007E4CDB">
        <w:rPr>
          <w:rFonts w:asciiTheme="minorHAnsi" w:hAnsiTheme="minorHAnsi" w:cstheme="minorHAnsi"/>
          <w:b/>
          <w:bCs/>
          <w:sz w:val="24"/>
          <w:szCs w:val="24"/>
        </w:rPr>
        <w:t xml:space="preserve"> UCITS II ICAV - </w:t>
      </w:r>
      <w:proofErr w:type="spellStart"/>
      <w:r w:rsidRPr="007E4CDB">
        <w:rPr>
          <w:rFonts w:asciiTheme="minorHAnsi" w:hAnsiTheme="minorHAnsi" w:cstheme="minorHAnsi"/>
          <w:b/>
          <w:bCs/>
          <w:sz w:val="24"/>
          <w:szCs w:val="24"/>
        </w:rPr>
        <w:t>Fidelity</w:t>
      </w:r>
      <w:proofErr w:type="spellEnd"/>
      <w:r w:rsidRPr="007E4CDB">
        <w:rPr>
          <w:rFonts w:asciiTheme="minorHAnsi" w:hAnsiTheme="minorHAnsi" w:cstheme="minorHAnsi"/>
          <w:b/>
          <w:bCs/>
          <w:sz w:val="24"/>
          <w:szCs w:val="24"/>
        </w:rPr>
        <w:t xml:space="preserve"> </w:t>
      </w:r>
      <w:proofErr w:type="spellStart"/>
      <w:r w:rsidRPr="007E4CDB">
        <w:rPr>
          <w:rFonts w:asciiTheme="minorHAnsi" w:hAnsiTheme="minorHAnsi" w:cstheme="minorHAnsi"/>
          <w:b/>
          <w:bCs/>
          <w:sz w:val="24"/>
          <w:szCs w:val="24"/>
        </w:rPr>
        <w:t>Sustainable</w:t>
      </w:r>
      <w:proofErr w:type="spellEnd"/>
      <w:r w:rsidRPr="007E4CDB">
        <w:rPr>
          <w:rFonts w:asciiTheme="minorHAnsi" w:hAnsiTheme="minorHAnsi" w:cstheme="minorHAnsi"/>
          <w:b/>
          <w:bCs/>
          <w:sz w:val="24"/>
          <w:szCs w:val="24"/>
        </w:rPr>
        <w:t xml:space="preserve"> USD </w:t>
      </w:r>
      <w:proofErr w:type="spellStart"/>
      <w:r w:rsidRPr="007E4CDB">
        <w:rPr>
          <w:rFonts w:asciiTheme="minorHAnsi" w:hAnsiTheme="minorHAnsi" w:cstheme="minorHAnsi"/>
          <w:b/>
          <w:bCs/>
          <w:sz w:val="24"/>
          <w:szCs w:val="24"/>
        </w:rPr>
        <w:t>Corporate</w:t>
      </w:r>
      <w:proofErr w:type="spellEnd"/>
      <w:r w:rsidRPr="007E4CDB">
        <w:rPr>
          <w:rFonts w:asciiTheme="minorHAnsi" w:hAnsiTheme="minorHAnsi" w:cstheme="minorHAnsi"/>
          <w:b/>
          <w:bCs/>
          <w:sz w:val="24"/>
          <w:szCs w:val="24"/>
        </w:rPr>
        <w:t xml:space="preserve"> Bond - Paris </w:t>
      </w:r>
      <w:proofErr w:type="spellStart"/>
      <w:r w:rsidRPr="007E4CDB">
        <w:rPr>
          <w:rFonts w:asciiTheme="minorHAnsi" w:hAnsiTheme="minorHAnsi" w:cstheme="minorHAnsi"/>
          <w:b/>
          <w:bCs/>
          <w:sz w:val="24"/>
          <w:szCs w:val="24"/>
        </w:rPr>
        <w:t>Aligned</w:t>
      </w:r>
      <w:proofErr w:type="spellEnd"/>
      <w:r w:rsidRPr="007E4CDB">
        <w:rPr>
          <w:rFonts w:asciiTheme="minorHAnsi" w:hAnsiTheme="minorHAnsi" w:cstheme="minorHAnsi"/>
          <w:b/>
          <w:bCs/>
          <w:sz w:val="24"/>
          <w:szCs w:val="24"/>
        </w:rPr>
        <w:t xml:space="preserve"> </w:t>
      </w:r>
      <w:proofErr w:type="spellStart"/>
      <w:r w:rsidRPr="007E4CDB">
        <w:rPr>
          <w:rFonts w:asciiTheme="minorHAnsi" w:hAnsiTheme="minorHAnsi" w:cstheme="minorHAnsi"/>
          <w:b/>
          <w:bCs/>
          <w:sz w:val="24"/>
          <w:szCs w:val="24"/>
        </w:rPr>
        <w:t>Multifactor</w:t>
      </w:r>
      <w:proofErr w:type="spellEnd"/>
      <w:r w:rsidRPr="007E4CDB">
        <w:rPr>
          <w:rFonts w:asciiTheme="minorHAnsi" w:hAnsiTheme="minorHAnsi" w:cstheme="minorHAnsi"/>
          <w:b/>
          <w:bCs/>
          <w:sz w:val="24"/>
          <w:szCs w:val="24"/>
        </w:rPr>
        <w:t xml:space="preserve"> UCITS ETF (dále jen "fondy") jsou nyní kótovány na londýnské burze cenných papírů a na burze </w:t>
      </w:r>
      <w:proofErr w:type="spellStart"/>
      <w:r w:rsidRPr="007E4CDB">
        <w:rPr>
          <w:rFonts w:asciiTheme="minorHAnsi" w:hAnsiTheme="minorHAnsi" w:cstheme="minorHAnsi"/>
          <w:b/>
          <w:bCs/>
          <w:sz w:val="24"/>
          <w:szCs w:val="24"/>
        </w:rPr>
        <w:t>Xetra</w:t>
      </w:r>
      <w:proofErr w:type="spellEnd"/>
      <w:r w:rsidRPr="007E4CDB">
        <w:rPr>
          <w:rFonts w:asciiTheme="minorHAnsi" w:hAnsiTheme="minorHAnsi" w:cstheme="minorHAnsi"/>
          <w:b/>
          <w:bCs/>
          <w:sz w:val="24"/>
          <w:szCs w:val="24"/>
        </w:rPr>
        <w:t xml:space="preserve">, v budoucnu budou kótovány na burzách SIX a </w:t>
      </w:r>
      <w:proofErr w:type="spellStart"/>
      <w:r w:rsidRPr="007E4CDB">
        <w:rPr>
          <w:rFonts w:asciiTheme="minorHAnsi" w:hAnsiTheme="minorHAnsi" w:cstheme="minorHAnsi"/>
          <w:b/>
          <w:bCs/>
          <w:sz w:val="24"/>
          <w:szCs w:val="24"/>
        </w:rPr>
        <w:t>Borsa</w:t>
      </w:r>
      <w:proofErr w:type="spellEnd"/>
      <w:r w:rsidRPr="007E4CDB">
        <w:rPr>
          <w:rFonts w:asciiTheme="minorHAnsi" w:hAnsiTheme="minorHAnsi" w:cstheme="minorHAnsi"/>
          <w:b/>
          <w:bCs/>
          <w:sz w:val="24"/>
          <w:szCs w:val="24"/>
        </w:rPr>
        <w:t xml:space="preserve"> </w:t>
      </w:r>
      <w:proofErr w:type="spellStart"/>
      <w:r w:rsidRPr="007E4CDB">
        <w:rPr>
          <w:rFonts w:asciiTheme="minorHAnsi" w:hAnsiTheme="minorHAnsi" w:cstheme="minorHAnsi"/>
          <w:b/>
          <w:bCs/>
          <w:sz w:val="24"/>
          <w:szCs w:val="24"/>
        </w:rPr>
        <w:t>Italiana</w:t>
      </w:r>
      <w:proofErr w:type="spellEnd"/>
      <w:r w:rsidRPr="007E4CDB">
        <w:rPr>
          <w:rFonts w:asciiTheme="minorHAnsi" w:hAnsiTheme="minorHAnsi" w:cstheme="minorHAnsi"/>
          <w:b/>
          <w:bCs/>
          <w:sz w:val="24"/>
          <w:szCs w:val="24"/>
        </w:rPr>
        <w:t>.</w:t>
      </w:r>
    </w:p>
    <w:p w14:paraId="496BDF63" w14:textId="77777777" w:rsidR="00226D28" w:rsidRPr="00226D28" w:rsidRDefault="00226D28" w:rsidP="00226D28">
      <w:pPr>
        <w:spacing w:line="360" w:lineRule="auto"/>
      </w:pPr>
      <w:r w:rsidRPr="00226D28">
        <w:t xml:space="preserve">Oba fondy využívají jedinečného výzkumu společnosti </w:t>
      </w:r>
      <w:proofErr w:type="spellStart"/>
      <w:r w:rsidRPr="00226D28">
        <w:t>Fidelity</w:t>
      </w:r>
      <w:proofErr w:type="spellEnd"/>
      <w:r w:rsidRPr="00226D28">
        <w:t xml:space="preserve">, který je celosvětový, a zahrnuje vlastní hodnocení udržitelného investování a klimatických závazků Pařížské dohody. </w:t>
      </w:r>
      <w:proofErr w:type="spellStart"/>
      <w:r w:rsidRPr="00226D28">
        <w:t>Vícefaktorový</w:t>
      </w:r>
      <w:proofErr w:type="spellEnd"/>
      <w:r w:rsidRPr="00226D28">
        <w:t xml:space="preserve"> model, který je základem těchto strategií, vyvinutý týmem, co má na starosti nástroje s pevným výnosem společnosti </w:t>
      </w:r>
      <w:proofErr w:type="spellStart"/>
      <w:r w:rsidRPr="00226D28">
        <w:t>Fidelity</w:t>
      </w:r>
      <w:proofErr w:type="spellEnd"/>
      <w:r w:rsidRPr="00226D28">
        <w:t xml:space="preserve">, zohledňuje řadu sentimentů, ocenění a fundamentálních charakteristik. Proces sestavování portfolia se pak zaměřuje na generování alfy výběrem těch nejatraktivnějších dluhopisů (s přihlédnutím k transakčním nákladům a ocenění) od těch emitentů dluhopisů, kteří mají nejvyšší </w:t>
      </w:r>
      <w:proofErr w:type="spellStart"/>
      <w:r w:rsidRPr="00226D28">
        <w:t>vícefaktorové</w:t>
      </w:r>
      <w:proofErr w:type="spellEnd"/>
      <w:r w:rsidRPr="00226D28">
        <w:t xml:space="preserve"> skóre.</w:t>
      </w:r>
    </w:p>
    <w:p w14:paraId="4A65B846" w14:textId="77777777" w:rsidR="00226D28" w:rsidRPr="00226D28" w:rsidRDefault="00226D28" w:rsidP="00226D28">
      <w:pPr>
        <w:spacing w:line="360" w:lineRule="auto"/>
      </w:pPr>
      <w:r w:rsidRPr="00226D28">
        <w:t>Investičním cílem obou fondů je dosáhnout souladu s dlouhodobými cíli Pařížské dohody o globálním oteplování omezením expozice portfolia vůči emisím uhlíku a dosažení růstu výnosů i kapitálu.</w:t>
      </w:r>
    </w:p>
    <w:p w14:paraId="3B5B3111" w14:textId="77777777" w:rsidR="00226D28" w:rsidRPr="00226D28" w:rsidRDefault="00226D28" w:rsidP="00226D28">
      <w:pPr>
        <w:spacing w:line="360" w:lineRule="auto"/>
      </w:pPr>
      <w:r w:rsidRPr="00226D28">
        <w:t xml:space="preserve">Referenčním indexem dolarového fondu je index </w:t>
      </w:r>
      <w:proofErr w:type="spellStart"/>
      <w:r w:rsidRPr="00226D28">
        <w:t>Solactive</w:t>
      </w:r>
      <w:proofErr w:type="spellEnd"/>
      <w:r w:rsidRPr="00226D28">
        <w:t xml:space="preserve"> USD </w:t>
      </w:r>
      <w:proofErr w:type="spellStart"/>
      <w:r w:rsidRPr="00226D28">
        <w:t>Corporate</w:t>
      </w:r>
      <w:proofErr w:type="spellEnd"/>
      <w:r w:rsidRPr="00226D28">
        <w:t xml:space="preserve"> IG PAB a referenčním indexem eurového fondu je index </w:t>
      </w:r>
      <w:proofErr w:type="spellStart"/>
      <w:r w:rsidRPr="00226D28">
        <w:t>Solactive</w:t>
      </w:r>
      <w:proofErr w:type="spellEnd"/>
      <w:r w:rsidRPr="00226D28">
        <w:t xml:space="preserve"> Euro </w:t>
      </w:r>
      <w:proofErr w:type="spellStart"/>
      <w:r w:rsidRPr="00226D28">
        <w:t>Corporate</w:t>
      </w:r>
      <w:proofErr w:type="spellEnd"/>
      <w:r w:rsidRPr="00226D28">
        <w:t xml:space="preserve"> IG PAB. Oba fondy jsou klasifikovány podle článku 9 nařízení o zveřejňování informací o udržitelném financování ("SFDR").</w:t>
      </w:r>
    </w:p>
    <w:p w14:paraId="347638A3" w14:textId="4413CCDF" w:rsidR="00226D28" w:rsidRPr="000A572D" w:rsidRDefault="00226D28" w:rsidP="00226D28">
      <w:pPr>
        <w:spacing w:line="360" w:lineRule="auto"/>
        <w:rPr>
          <w:i/>
          <w:iCs/>
        </w:rPr>
      </w:pPr>
      <w:r w:rsidRPr="00226D28">
        <w:t xml:space="preserve">Stefan Kuhn, ředitel distribuce ETF pro Evropu ve společnosti </w:t>
      </w:r>
      <w:proofErr w:type="spellStart"/>
      <w:r w:rsidRPr="00226D28">
        <w:t>Fidelity</w:t>
      </w:r>
      <w:proofErr w:type="spellEnd"/>
      <w:r w:rsidRPr="00226D28">
        <w:t xml:space="preserve"> International, říká: </w:t>
      </w:r>
      <w:r w:rsidRPr="000A572D">
        <w:rPr>
          <w:i/>
          <w:iCs/>
        </w:rPr>
        <w:t>"Popularita ETF roste, protože investoři hledají alternativní nástroje, které mohou přinést “alfu”. Trh s ETF vzrostl z přibližně 200 miliard dolarů v roce 2003 na více než 9,5 bilionu dolarů v roce 2022 a očekává se, že za pouhých pět let dosáhne 15 bilionů dolarů.</w:t>
      </w:r>
      <w:r w:rsidR="000A572D">
        <w:rPr>
          <w:i/>
          <w:iCs/>
        </w:rPr>
        <w:t>“</w:t>
      </w:r>
      <w:r w:rsidRPr="000A572D">
        <w:rPr>
          <w:i/>
          <w:iCs/>
        </w:rPr>
        <w:t xml:space="preserve"> </w:t>
      </w:r>
    </w:p>
    <w:p w14:paraId="3667886D" w14:textId="77777777" w:rsidR="00226D28" w:rsidRPr="000A572D" w:rsidRDefault="00226D28" w:rsidP="00226D28">
      <w:pPr>
        <w:spacing w:line="360" w:lineRule="auto"/>
        <w:rPr>
          <w:i/>
          <w:iCs/>
        </w:rPr>
      </w:pPr>
      <w:r w:rsidRPr="000A572D">
        <w:rPr>
          <w:i/>
          <w:iCs/>
        </w:rPr>
        <w:t xml:space="preserve">"Od svého uvedení na trh v roce 2021 se náš fond </w:t>
      </w:r>
      <w:proofErr w:type="spellStart"/>
      <w:r w:rsidRPr="000A572D">
        <w:rPr>
          <w:i/>
          <w:iCs/>
        </w:rPr>
        <w:t>Sustainable</w:t>
      </w:r>
      <w:proofErr w:type="spellEnd"/>
      <w:r w:rsidRPr="000A572D">
        <w:rPr>
          <w:i/>
          <w:iCs/>
        </w:rPr>
        <w:t xml:space="preserve"> </w:t>
      </w:r>
      <w:proofErr w:type="spellStart"/>
      <w:r w:rsidRPr="000A572D">
        <w:rPr>
          <w:i/>
          <w:iCs/>
        </w:rPr>
        <w:t>Global</w:t>
      </w:r>
      <w:proofErr w:type="spellEnd"/>
      <w:r w:rsidRPr="000A572D">
        <w:rPr>
          <w:i/>
          <w:iCs/>
        </w:rPr>
        <w:t xml:space="preserve"> </w:t>
      </w:r>
      <w:proofErr w:type="spellStart"/>
      <w:r w:rsidRPr="000A572D">
        <w:rPr>
          <w:i/>
          <w:iCs/>
        </w:rPr>
        <w:t>Corporate</w:t>
      </w:r>
      <w:proofErr w:type="spellEnd"/>
      <w:r w:rsidRPr="000A572D">
        <w:rPr>
          <w:i/>
          <w:iCs/>
        </w:rPr>
        <w:t xml:space="preserve"> Bond </w:t>
      </w:r>
      <w:proofErr w:type="spellStart"/>
      <w:r w:rsidRPr="000A572D">
        <w:rPr>
          <w:i/>
          <w:iCs/>
        </w:rPr>
        <w:t>Multifactor</w:t>
      </w:r>
      <w:proofErr w:type="spellEnd"/>
      <w:r w:rsidRPr="000A572D">
        <w:rPr>
          <w:i/>
          <w:iCs/>
        </w:rPr>
        <w:t xml:space="preserve"> UCITS ETF těší značné oblibě klientů, protože aktivně využívá výzkum společnosti </w:t>
      </w:r>
      <w:proofErr w:type="spellStart"/>
      <w:r w:rsidRPr="000A572D">
        <w:rPr>
          <w:i/>
          <w:iCs/>
        </w:rPr>
        <w:t>Fidelity</w:t>
      </w:r>
      <w:proofErr w:type="spellEnd"/>
      <w:r w:rsidRPr="000A572D">
        <w:rPr>
          <w:i/>
          <w:iCs/>
        </w:rPr>
        <w:t xml:space="preserve"> a naše odborné znalosti v oblasti udržitelného rozvoje tak, aby k identifikoval nejlepší korporátní dluhopisy ve své třídě </w:t>
      </w:r>
      <w:r w:rsidRPr="000A572D">
        <w:rPr>
          <w:i/>
          <w:iCs/>
        </w:rPr>
        <w:lastRenderedPageBreak/>
        <w:t>za nejatraktivnější cenu. Jsme rádi, že s tím, jak roste poptávka klientů, můžeme tuto strategii rozšířit I o regionální varianty."</w:t>
      </w:r>
    </w:p>
    <w:p w14:paraId="41ECFDC4" w14:textId="0433F5F2" w:rsidR="005545A5" w:rsidRDefault="00226D28" w:rsidP="00C250E8">
      <w:pPr>
        <w:spacing w:line="360" w:lineRule="auto"/>
      </w:pPr>
      <w:r w:rsidRPr="00226D28">
        <w:t xml:space="preserve">Fondy doplní stávající </w:t>
      </w:r>
      <w:proofErr w:type="spellStart"/>
      <w:r w:rsidRPr="00226D28">
        <w:t>nabídcu</w:t>
      </w:r>
      <w:proofErr w:type="spellEnd"/>
      <w:r w:rsidRPr="00226D28">
        <w:t xml:space="preserve"> </w:t>
      </w:r>
      <w:proofErr w:type="spellStart"/>
      <w:r w:rsidRPr="00226D28">
        <w:t>ETFek</w:t>
      </w:r>
      <w:proofErr w:type="spellEnd"/>
      <w:r w:rsidRPr="00226D28">
        <w:t xml:space="preserve"> </w:t>
      </w:r>
      <w:proofErr w:type="spellStart"/>
      <w:r w:rsidRPr="00226D28">
        <w:t>Fidelity</w:t>
      </w:r>
      <w:proofErr w:type="spellEnd"/>
      <w:r w:rsidRPr="00226D28">
        <w:t xml:space="preserve"> podle článku 9, </w:t>
      </w:r>
      <w:proofErr w:type="spellStart"/>
      <w:r w:rsidRPr="00226D28">
        <w:t>Fidelity</w:t>
      </w:r>
      <w:proofErr w:type="spellEnd"/>
      <w:r w:rsidRPr="00226D28">
        <w:t xml:space="preserve"> </w:t>
      </w:r>
      <w:proofErr w:type="spellStart"/>
      <w:r w:rsidRPr="00226D28">
        <w:t>Sustainable</w:t>
      </w:r>
      <w:proofErr w:type="spellEnd"/>
      <w:r w:rsidRPr="00226D28">
        <w:t xml:space="preserve"> </w:t>
      </w:r>
      <w:proofErr w:type="spellStart"/>
      <w:r w:rsidRPr="00226D28">
        <w:t>Global</w:t>
      </w:r>
      <w:proofErr w:type="spellEnd"/>
      <w:r w:rsidRPr="00226D28">
        <w:t xml:space="preserve"> </w:t>
      </w:r>
      <w:proofErr w:type="spellStart"/>
      <w:r w:rsidRPr="00226D28">
        <w:t>Corporate</w:t>
      </w:r>
      <w:proofErr w:type="spellEnd"/>
      <w:r w:rsidRPr="00226D28">
        <w:t xml:space="preserve"> Bond Paris-</w:t>
      </w:r>
      <w:proofErr w:type="spellStart"/>
      <w:r w:rsidRPr="00226D28">
        <w:t>Aligned</w:t>
      </w:r>
      <w:proofErr w:type="spellEnd"/>
      <w:r w:rsidRPr="00226D28">
        <w:t xml:space="preserve"> </w:t>
      </w:r>
      <w:proofErr w:type="spellStart"/>
      <w:r w:rsidRPr="00226D28">
        <w:t>Multifactor</w:t>
      </w:r>
      <w:proofErr w:type="spellEnd"/>
      <w:r w:rsidRPr="00226D28">
        <w:t xml:space="preserve"> UCITS ETF a </w:t>
      </w:r>
      <w:proofErr w:type="spellStart"/>
      <w:r w:rsidRPr="00226D28">
        <w:t>Fidelity</w:t>
      </w:r>
      <w:proofErr w:type="spellEnd"/>
      <w:r w:rsidRPr="00226D28">
        <w:t xml:space="preserve"> </w:t>
      </w:r>
      <w:proofErr w:type="spellStart"/>
      <w:r w:rsidRPr="00226D28">
        <w:t>Sustainable</w:t>
      </w:r>
      <w:proofErr w:type="spellEnd"/>
      <w:r w:rsidRPr="00226D28">
        <w:t xml:space="preserve"> </w:t>
      </w:r>
      <w:proofErr w:type="spellStart"/>
      <w:r w:rsidRPr="00226D28">
        <w:t>Global</w:t>
      </w:r>
      <w:proofErr w:type="spellEnd"/>
      <w:r w:rsidRPr="00226D28">
        <w:t xml:space="preserve"> </w:t>
      </w:r>
      <w:proofErr w:type="spellStart"/>
      <w:r w:rsidRPr="00226D28">
        <w:t>High</w:t>
      </w:r>
      <w:proofErr w:type="spellEnd"/>
      <w:r w:rsidRPr="00226D28">
        <w:t xml:space="preserve"> </w:t>
      </w:r>
      <w:proofErr w:type="spellStart"/>
      <w:r w:rsidRPr="00226D28">
        <w:t>Yield</w:t>
      </w:r>
      <w:proofErr w:type="spellEnd"/>
      <w:r w:rsidRPr="00226D28">
        <w:t xml:space="preserve"> Bond Paris-</w:t>
      </w:r>
      <w:proofErr w:type="spellStart"/>
      <w:r w:rsidRPr="00226D28">
        <w:t>Aligned</w:t>
      </w:r>
      <w:proofErr w:type="spellEnd"/>
      <w:r w:rsidRPr="00226D28">
        <w:t xml:space="preserve"> </w:t>
      </w:r>
      <w:proofErr w:type="spellStart"/>
      <w:r w:rsidRPr="00226D28">
        <w:t>Multifactor</w:t>
      </w:r>
      <w:proofErr w:type="spellEnd"/>
      <w:r w:rsidRPr="00226D28">
        <w:t xml:space="preserve"> UCITS ETF.</w:t>
      </w:r>
    </w:p>
    <w:p w14:paraId="384164FE" w14:textId="1A6825C6" w:rsidR="005545A5" w:rsidRDefault="005545A5" w:rsidP="00226D28">
      <w:pPr>
        <w:pStyle w:val="F2-zkladn"/>
      </w:pPr>
      <w:r>
        <w:t>Pozn:</w:t>
      </w:r>
    </w:p>
    <w:p w14:paraId="730E23DD" w14:textId="5F4165B9" w:rsidR="005545A5" w:rsidRPr="004100DB" w:rsidRDefault="005545A5" w:rsidP="005545A5">
      <w:pPr>
        <w:spacing w:line="360" w:lineRule="auto"/>
        <w:rPr>
          <w:b/>
          <w:bCs/>
          <w:sz w:val="18"/>
          <w:szCs w:val="18"/>
        </w:rPr>
      </w:pPr>
      <w:r>
        <w:rPr>
          <w:sz w:val="18"/>
          <w:szCs w:val="18"/>
        </w:rPr>
        <w:t>Data čerpána z</w:t>
      </w:r>
      <w:r w:rsidRPr="00E5004E">
        <w:rPr>
          <w:sz w:val="18"/>
          <w:szCs w:val="18"/>
        </w:rPr>
        <w:t xml:space="preserve">: </w:t>
      </w:r>
      <w:hyperlink r:id="rId12" w:anchor=":~:text=Despite%20the%20challenging%20market%20conditions%20in%202022%2C%20seven,a%20compound%20annual%20growth%20rate%20%28CAGR%29%20of%2011.77%25." w:history="1">
        <w:r w:rsidRPr="00E5004E">
          <w:rPr>
            <w:rStyle w:val="Hypertextovodkaz"/>
            <w:sz w:val="18"/>
            <w:szCs w:val="18"/>
          </w:rPr>
          <w:t xml:space="preserve">PwC, </w:t>
        </w:r>
        <w:proofErr w:type="spellStart"/>
        <w:r w:rsidRPr="002733BD">
          <w:rPr>
            <w:rStyle w:val="Hypertextovodkaz"/>
            <w:sz w:val="18"/>
            <w:szCs w:val="18"/>
          </w:rPr>
          <w:t>ETFs</w:t>
        </w:r>
        <w:proofErr w:type="spellEnd"/>
        <w:r w:rsidRPr="002733BD">
          <w:rPr>
            <w:rStyle w:val="Hypertextovodkaz"/>
            <w:sz w:val="18"/>
            <w:szCs w:val="18"/>
          </w:rPr>
          <w:t xml:space="preserve"> 2027</w:t>
        </w:r>
      </w:hyperlink>
      <w:r w:rsidRPr="002733BD">
        <w:rPr>
          <w:sz w:val="18"/>
          <w:szCs w:val="18"/>
        </w:rPr>
        <w:t>,</w:t>
      </w:r>
      <w:r>
        <w:rPr>
          <w:sz w:val="18"/>
          <w:szCs w:val="18"/>
        </w:rPr>
        <w:t xml:space="preserve"> </w:t>
      </w:r>
      <w:proofErr w:type="spellStart"/>
      <w:r>
        <w:rPr>
          <w:sz w:val="18"/>
          <w:szCs w:val="18"/>
        </w:rPr>
        <w:t>March</w:t>
      </w:r>
      <w:proofErr w:type="spellEnd"/>
      <w:r>
        <w:rPr>
          <w:sz w:val="18"/>
          <w:szCs w:val="18"/>
        </w:rPr>
        <w:t>,</w:t>
      </w:r>
      <w:r w:rsidRPr="00E5004E">
        <w:rPr>
          <w:sz w:val="18"/>
          <w:szCs w:val="18"/>
        </w:rPr>
        <w:t xml:space="preserve"> 2023</w:t>
      </w:r>
    </w:p>
    <w:tbl>
      <w:tblPr>
        <w:tblStyle w:val="Mkatabulky"/>
        <w:tblW w:w="5000" w:type="pct"/>
        <w:tblLook w:val="04A0" w:firstRow="1" w:lastRow="0" w:firstColumn="1" w:lastColumn="0" w:noHBand="0" w:noVBand="1"/>
      </w:tblPr>
      <w:tblGrid>
        <w:gridCol w:w="2658"/>
        <w:gridCol w:w="2385"/>
        <w:gridCol w:w="1547"/>
        <w:gridCol w:w="2470"/>
      </w:tblGrid>
      <w:tr w:rsidR="005545A5" w:rsidRPr="004100DB" w14:paraId="586C437E" w14:textId="77777777" w:rsidTr="002F7429">
        <w:tc>
          <w:tcPr>
            <w:tcW w:w="1497" w:type="pct"/>
          </w:tcPr>
          <w:p w14:paraId="0082C41C" w14:textId="77777777" w:rsidR="005545A5" w:rsidRPr="004100DB" w:rsidRDefault="005545A5" w:rsidP="002F7429">
            <w:pPr>
              <w:spacing w:line="360" w:lineRule="auto"/>
              <w:jc w:val="center"/>
              <w:rPr>
                <w:b/>
                <w:bCs/>
                <w:sz w:val="18"/>
                <w:szCs w:val="18"/>
              </w:rPr>
            </w:pPr>
            <w:proofErr w:type="spellStart"/>
            <w:r>
              <w:rPr>
                <w:b/>
                <w:bCs/>
                <w:sz w:val="18"/>
                <w:szCs w:val="18"/>
              </w:rPr>
              <w:t>Share</w:t>
            </w:r>
            <w:proofErr w:type="spellEnd"/>
            <w:r>
              <w:rPr>
                <w:b/>
                <w:bCs/>
                <w:sz w:val="18"/>
                <w:szCs w:val="18"/>
              </w:rPr>
              <w:t xml:space="preserve"> </w:t>
            </w:r>
            <w:proofErr w:type="spellStart"/>
            <w:r>
              <w:rPr>
                <w:b/>
                <w:bCs/>
                <w:sz w:val="18"/>
                <w:szCs w:val="18"/>
              </w:rPr>
              <w:t>class</w:t>
            </w:r>
            <w:proofErr w:type="spellEnd"/>
            <w:r>
              <w:rPr>
                <w:b/>
                <w:bCs/>
                <w:sz w:val="18"/>
                <w:szCs w:val="18"/>
              </w:rPr>
              <w:t xml:space="preserve"> </w:t>
            </w:r>
          </w:p>
        </w:tc>
        <w:tc>
          <w:tcPr>
            <w:tcW w:w="1346" w:type="pct"/>
          </w:tcPr>
          <w:p w14:paraId="33AA0C29" w14:textId="77777777" w:rsidR="005545A5" w:rsidRPr="004100DB" w:rsidRDefault="005545A5" w:rsidP="002F7429">
            <w:pPr>
              <w:spacing w:line="360" w:lineRule="auto"/>
              <w:jc w:val="center"/>
              <w:rPr>
                <w:b/>
                <w:bCs/>
                <w:sz w:val="18"/>
                <w:szCs w:val="18"/>
              </w:rPr>
            </w:pPr>
            <w:r>
              <w:rPr>
                <w:b/>
                <w:bCs/>
                <w:sz w:val="18"/>
                <w:szCs w:val="18"/>
              </w:rPr>
              <w:t>I</w:t>
            </w:r>
            <w:r w:rsidRPr="004100DB">
              <w:rPr>
                <w:b/>
                <w:bCs/>
                <w:sz w:val="18"/>
                <w:szCs w:val="18"/>
              </w:rPr>
              <w:t>ndex</w:t>
            </w:r>
          </w:p>
        </w:tc>
        <w:tc>
          <w:tcPr>
            <w:tcW w:w="764" w:type="pct"/>
          </w:tcPr>
          <w:p w14:paraId="1DA15E42" w14:textId="77777777" w:rsidR="005545A5" w:rsidRPr="004100DB" w:rsidRDefault="005545A5" w:rsidP="002F7429">
            <w:pPr>
              <w:spacing w:line="360" w:lineRule="auto"/>
              <w:jc w:val="center"/>
              <w:rPr>
                <w:b/>
                <w:bCs/>
                <w:sz w:val="18"/>
                <w:szCs w:val="18"/>
              </w:rPr>
            </w:pPr>
            <w:r w:rsidRPr="004100DB">
              <w:rPr>
                <w:b/>
                <w:bCs/>
                <w:sz w:val="18"/>
                <w:szCs w:val="18"/>
              </w:rPr>
              <w:t>ISIN</w:t>
            </w:r>
          </w:p>
        </w:tc>
        <w:tc>
          <w:tcPr>
            <w:tcW w:w="1393" w:type="pct"/>
          </w:tcPr>
          <w:p w14:paraId="52A9D564" w14:textId="77777777" w:rsidR="005545A5" w:rsidRPr="004100DB" w:rsidRDefault="005545A5" w:rsidP="002F7429">
            <w:pPr>
              <w:spacing w:line="360" w:lineRule="auto"/>
              <w:jc w:val="center"/>
              <w:rPr>
                <w:b/>
                <w:bCs/>
                <w:sz w:val="18"/>
                <w:szCs w:val="18"/>
              </w:rPr>
            </w:pPr>
            <w:proofErr w:type="spellStart"/>
            <w:r>
              <w:rPr>
                <w:b/>
                <w:bCs/>
                <w:sz w:val="18"/>
                <w:szCs w:val="18"/>
              </w:rPr>
              <w:t>Ongoing</w:t>
            </w:r>
            <w:proofErr w:type="spellEnd"/>
            <w:r>
              <w:rPr>
                <w:b/>
                <w:bCs/>
                <w:sz w:val="18"/>
                <w:szCs w:val="18"/>
              </w:rPr>
              <w:t xml:space="preserve"> </w:t>
            </w:r>
            <w:proofErr w:type="spellStart"/>
            <w:r>
              <w:rPr>
                <w:b/>
                <w:bCs/>
                <w:sz w:val="18"/>
                <w:szCs w:val="18"/>
              </w:rPr>
              <w:t>Charges</w:t>
            </w:r>
            <w:proofErr w:type="spellEnd"/>
            <w:r>
              <w:rPr>
                <w:b/>
                <w:bCs/>
                <w:sz w:val="18"/>
                <w:szCs w:val="18"/>
              </w:rPr>
              <w:t xml:space="preserve"> </w:t>
            </w:r>
            <w:proofErr w:type="spellStart"/>
            <w:r>
              <w:rPr>
                <w:b/>
                <w:bCs/>
                <w:sz w:val="18"/>
                <w:szCs w:val="18"/>
              </w:rPr>
              <w:t>Figure</w:t>
            </w:r>
            <w:proofErr w:type="spellEnd"/>
            <w:r>
              <w:rPr>
                <w:b/>
                <w:bCs/>
                <w:sz w:val="18"/>
                <w:szCs w:val="18"/>
              </w:rPr>
              <w:t xml:space="preserve"> (OCF)</w:t>
            </w:r>
          </w:p>
        </w:tc>
      </w:tr>
      <w:tr w:rsidR="005545A5" w:rsidRPr="004100DB" w14:paraId="1EAE2E3E" w14:textId="77777777" w:rsidTr="002F7429">
        <w:tc>
          <w:tcPr>
            <w:tcW w:w="1497" w:type="pct"/>
          </w:tcPr>
          <w:p w14:paraId="4C6618FB" w14:textId="77777777" w:rsidR="005545A5" w:rsidRPr="00C63D7D" w:rsidRDefault="005545A5" w:rsidP="002F7429">
            <w:pPr>
              <w:spacing w:line="360" w:lineRule="auto"/>
              <w:jc w:val="center"/>
              <w:rPr>
                <w:sz w:val="18"/>
                <w:szCs w:val="18"/>
              </w:rPr>
            </w:pPr>
            <w:proofErr w:type="spellStart"/>
            <w:r w:rsidRPr="008357BE">
              <w:rPr>
                <w:sz w:val="18"/>
                <w:szCs w:val="18"/>
              </w:rPr>
              <w:t>Fidelity</w:t>
            </w:r>
            <w:proofErr w:type="spellEnd"/>
            <w:r w:rsidRPr="008357BE">
              <w:rPr>
                <w:sz w:val="18"/>
                <w:szCs w:val="18"/>
              </w:rPr>
              <w:t xml:space="preserve"> </w:t>
            </w:r>
            <w:proofErr w:type="spellStart"/>
            <w:r w:rsidRPr="008357BE">
              <w:rPr>
                <w:sz w:val="18"/>
                <w:szCs w:val="18"/>
              </w:rPr>
              <w:t>Sustainable</w:t>
            </w:r>
            <w:proofErr w:type="spellEnd"/>
            <w:r w:rsidRPr="008357BE">
              <w:rPr>
                <w:sz w:val="18"/>
                <w:szCs w:val="18"/>
              </w:rPr>
              <w:t xml:space="preserve"> EUR </w:t>
            </w:r>
            <w:proofErr w:type="spellStart"/>
            <w:r w:rsidRPr="008357BE">
              <w:rPr>
                <w:sz w:val="18"/>
                <w:szCs w:val="18"/>
              </w:rPr>
              <w:t>Corporate</w:t>
            </w:r>
            <w:proofErr w:type="spellEnd"/>
            <w:r w:rsidRPr="008357BE">
              <w:rPr>
                <w:sz w:val="18"/>
                <w:szCs w:val="18"/>
              </w:rPr>
              <w:t xml:space="preserve"> Bond Paris-</w:t>
            </w:r>
            <w:proofErr w:type="spellStart"/>
            <w:r w:rsidRPr="008357BE">
              <w:rPr>
                <w:sz w:val="18"/>
                <w:szCs w:val="18"/>
              </w:rPr>
              <w:t>Aligned</w:t>
            </w:r>
            <w:proofErr w:type="spellEnd"/>
            <w:r w:rsidRPr="008357BE">
              <w:rPr>
                <w:sz w:val="18"/>
                <w:szCs w:val="18"/>
              </w:rPr>
              <w:t xml:space="preserve"> </w:t>
            </w:r>
            <w:proofErr w:type="spellStart"/>
            <w:r w:rsidRPr="008357BE">
              <w:rPr>
                <w:sz w:val="18"/>
                <w:szCs w:val="18"/>
              </w:rPr>
              <w:t>Multifactor</w:t>
            </w:r>
            <w:proofErr w:type="spellEnd"/>
            <w:r w:rsidRPr="008357BE">
              <w:rPr>
                <w:sz w:val="18"/>
                <w:szCs w:val="18"/>
              </w:rPr>
              <w:t xml:space="preserve"> UCITS ETF</w:t>
            </w:r>
            <w:r>
              <w:rPr>
                <w:sz w:val="18"/>
                <w:szCs w:val="18"/>
              </w:rPr>
              <w:t xml:space="preserve"> (</w:t>
            </w:r>
            <w:proofErr w:type="spellStart"/>
            <w:r>
              <w:rPr>
                <w:sz w:val="18"/>
                <w:szCs w:val="18"/>
              </w:rPr>
              <w:t>Inc</w:t>
            </w:r>
            <w:proofErr w:type="spellEnd"/>
            <w:r>
              <w:rPr>
                <w:sz w:val="18"/>
                <w:szCs w:val="18"/>
              </w:rPr>
              <w:t>)</w:t>
            </w:r>
          </w:p>
        </w:tc>
        <w:tc>
          <w:tcPr>
            <w:tcW w:w="1346" w:type="pct"/>
          </w:tcPr>
          <w:p w14:paraId="03D937B8" w14:textId="77777777" w:rsidR="005545A5" w:rsidRPr="004100DB" w:rsidRDefault="005545A5" w:rsidP="002F7429">
            <w:pPr>
              <w:spacing w:line="360" w:lineRule="auto"/>
              <w:jc w:val="center"/>
              <w:rPr>
                <w:sz w:val="18"/>
                <w:szCs w:val="18"/>
              </w:rPr>
            </w:pPr>
            <w:proofErr w:type="spellStart"/>
            <w:r w:rsidRPr="008357BE">
              <w:rPr>
                <w:sz w:val="18"/>
                <w:szCs w:val="18"/>
              </w:rPr>
              <w:t>Solactive</w:t>
            </w:r>
            <w:proofErr w:type="spellEnd"/>
            <w:r w:rsidRPr="008357BE">
              <w:rPr>
                <w:sz w:val="18"/>
                <w:szCs w:val="18"/>
              </w:rPr>
              <w:t xml:space="preserve"> Euro </w:t>
            </w:r>
            <w:proofErr w:type="spellStart"/>
            <w:r w:rsidRPr="008357BE">
              <w:rPr>
                <w:sz w:val="18"/>
                <w:szCs w:val="18"/>
              </w:rPr>
              <w:t>Corporate</w:t>
            </w:r>
            <w:proofErr w:type="spellEnd"/>
            <w:r w:rsidRPr="008357BE">
              <w:rPr>
                <w:sz w:val="18"/>
                <w:szCs w:val="18"/>
              </w:rPr>
              <w:t xml:space="preserve"> IG PAB Index </w:t>
            </w:r>
          </w:p>
        </w:tc>
        <w:tc>
          <w:tcPr>
            <w:tcW w:w="764" w:type="pct"/>
          </w:tcPr>
          <w:p w14:paraId="3F3B3BDA" w14:textId="77777777" w:rsidR="005545A5" w:rsidRPr="004100DB" w:rsidRDefault="005545A5" w:rsidP="002F7429">
            <w:pPr>
              <w:spacing w:line="360" w:lineRule="auto"/>
              <w:jc w:val="center"/>
              <w:rPr>
                <w:sz w:val="18"/>
                <w:szCs w:val="18"/>
              </w:rPr>
            </w:pPr>
            <w:r w:rsidRPr="00C63D7D">
              <w:rPr>
                <w:sz w:val="18"/>
                <w:szCs w:val="18"/>
              </w:rPr>
              <w:t>IE000IF0HTJ9</w:t>
            </w:r>
          </w:p>
        </w:tc>
        <w:tc>
          <w:tcPr>
            <w:tcW w:w="1393" w:type="pct"/>
          </w:tcPr>
          <w:p w14:paraId="5E73E1E6" w14:textId="77777777" w:rsidR="005545A5" w:rsidRPr="004100DB" w:rsidRDefault="005545A5" w:rsidP="002F7429">
            <w:pPr>
              <w:spacing w:line="360" w:lineRule="auto"/>
              <w:jc w:val="center"/>
              <w:rPr>
                <w:sz w:val="18"/>
                <w:szCs w:val="18"/>
              </w:rPr>
            </w:pPr>
            <w:r w:rsidRPr="004100DB">
              <w:rPr>
                <w:sz w:val="18"/>
                <w:szCs w:val="18"/>
              </w:rPr>
              <w:t>0.</w:t>
            </w:r>
            <w:r>
              <w:rPr>
                <w:sz w:val="18"/>
                <w:szCs w:val="18"/>
              </w:rPr>
              <w:t>20</w:t>
            </w:r>
            <w:r w:rsidRPr="004100DB">
              <w:rPr>
                <w:sz w:val="18"/>
                <w:szCs w:val="18"/>
              </w:rPr>
              <w:t>%</w:t>
            </w:r>
          </w:p>
        </w:tc>
      </w:tr>
      <w:tr w:rsidR="005545A5" w:rsidRPr="004100DB" w14:paraId="367C87BF" w14:textId="77777777" w:rsidTr="002F7429">
        <w:tc>
          <w:tcPr>
            <w:tcW w:w="1497" w:type="pct"/>
          </w:tcPr>
          <w:p w14:paraId="1B30B367" w14:textId="77777777" w:rsidR="005545A5" w:rsidRPr="00C63D7D" w:rsidRDefault="005545A5" w:rsidP="002F7429">
            <w:pPr>
              <w:spacing w:line="360" w:lineRule="auto"/>
              <w:jc w:val="center"/>
              <w:rPr>
                <w:sz w:val="18"/>
                <w:szCs w:val="18"/>
              </w:rPr>
            </w:pPr>
            <w:proofErr w:type="spellStart"/>
            <w:r w:rsidRPr="008357BE">
              <w:rPr>
                <w:sz w:val="18"/>
                <w:szCs w:val="18"/>
              </w:rPr>
              <w:t>Fidelity</w:t>
            </w:r>
            <w:proofErr w:type="spellEnd"/>
            <w:r w:rsidRPr="008357BE">
              <w:rPr>
                <w:sz w:val="18"/>
                <w:szCs w:val="18"/>
              </w:rPr>
              <w:t xml:space="preserve"> </w:t>
            </w:r>
            <w:proofErr w:type="spellStart"/>
            <w:r w:rsidRPr="008357BE">
              <w:rPr>
                <w:sz w:val="18"/>
                <w:szCs w:val="18"/>
              </w:rPr>
              <w:t>Sustainable</w:t>
            </w:r>
            <w:proofErr w:type="spellEnd"/>
            <w:r w:rsidRPr="008357BE">
              <w:rPr>
                <w:sz w:val="18"/>
                <w:szCs w:val="18"/>
              </w:rPr>
              <w:t xml:space="preserve"> EUR </w:t>
            </w:r>
            <w:proofErr w:type="spellStart"/>
            <w:r w:rsidRPr="008357BE">
              <w:rPr>
                <w:sz w:val="18"/>
                <w:szCs w:val="18"/>
              </w:rPr>
              <w:t>Corporate</w:t>
            </w:r>
            <w:proofErr w:type="spellEnd"/>
            <w:r w:rsidRPr="008357BE">
              <w:rPr>
                <w:sz w:val="18"/>
                <w:szCs w:val="18"/>
              </w:rPr>
              <w:t xml:space="preserve"> Bond Paris-</w:t>
            </w:r>
            <w:proofErr w:type="spellStart"/>
            <w:r w:rsidRPr="008357BE">
              <w:rPr>
                <w:sz w:val="18"/>
                <w:szCs w:val="18"/>
              </w:rPr>
              <w:t>Aligned</w:t>
            </w:r>
            <w:proofErr w:type="spellEnd"/>
            <w:r w:rsidRPr="008357BE">
              <w:rPr>
                <w:sz w:val="18"/>
                <w:szCs w:val="18"/>
              </w:rPr>
              <w:t xml:space="preserve"> </w:t>
            </w:r>
            <w:proofErr w:type="spellStart"/>
            <w:r w:rsidRPr="008357BE">
              <w:rPr>
                <w:sz w:val="18"/>
                <w:szCs w:val="18"/>
              </w:rPr>
              <w:t>Multifactor</w:t>
            </w:r>
            <w:proofErr w:type="spellEnd"/>
            <w:r w:rsidRPr="008357BE">
              <w:rPr>
                <w:sz w:val="18"/>
                <w:szCs w:val="18"/>
              </w:rPr>
              <w:t xml:space="preserve"> UCITS ETF</w:t>
            </w:r>
            <w:r>
              <w:rPr>
                <w:sz w:val="18"/>
                <w:szCs w:val="18"/>
              </w:rPr>
              <w:t xml:space="preserve"> (</w:t>
            </w:r>
            <w:proofErr w:type="spellStart"/>
            <w:r>
              <w:rPr>
                <w:sz w:val="18"/>
                <w:szCs w:val="18"/>
              </w:rPr>
              <w:t>Acc</w:t>
            </w:r>
            <w:proofErr w:type="spellEnd"/>
            <w:r>
              <w:rPr>
                <w:sz w:val="18"/>
                <w:szCs w:val="18"/>
              </w:rPr>
              <w:t xml:space="preserve"> GBP </w:t>
            </w:r>
            <w:proofErr w:type="spellStart"/>
            <w:r>
              <w:rPr>
                <w:sz w:val="18"/>
                <w:szCs w:val="18"/>
              </w:rPr>
              <w:t>hedged</w:t>
            </w:r>
            <w:proofErr w:type="spellEnd"/>
            <w:r>
              <w:rPr>
                <w:sz w:val="18"/>
                <w:szCs w:val="18"/>
              </w:rPr>
              <w:t>)</w:t>
            </w:r>
          </w:p>
        </w:tc>
        <w:tc>
          <w:tcPr>
            <w:tcW w:w="1346" w:type="pct"/>
          </w:tcPr>
          <w:p w14:paraId="365F36B5" w14:textId="77777777" w:rsidR="005545A5" w:rsidRPr="00C63D7D" w:rsidRDefault="005545A5" w:rsidP="002F7429">
            <w:pPr>
              <w:spacing w:line="360" w:lineRule="auto"/>
              <w:jc w:val="center"/>
              <w:rPr>
                <w:sz w:val="18"/>
                <w:szCs w:val="18"/>
              </w:rPr>
            </w:pPr>
            <w:proofErr w:type="spellStart"/>
            <w:r w:rsidRPr="008357BE">
              <w:rPr>
                <w:sz w:val="18"/>
                <w:szCs w:val="18"/>
              </w:rPr>
              <w:t>Solactive</w:t>
            </w:r>
            <w:proofErr w:type="spellEnd"/>
            <w:r w:rsidRPr="008357BE">
              <w:rPr>
                <w:sz w:val="18"/>
                <w:szCs w:val="18"/>
              </w:rPr>
              <w:t xml:space="preserve"> Euro </w:t>
            </w:r>
            <w:proofErr w:type="spellStart"/>
            <w:r w:rsidRPr="008357BE">
              <w:rPr>
                <w:sz w:val="18"/>
                <w:szCs w:val="18"/>
              </w:rPr>
              <w:t>Corporate</w:t>
            </w:r>
            <w:proofErr w:type="spellEnd"/>
            <w:r w:rsidRPr="008357BE">
              <w:rPr>
                <w:sz w:val="18"/>
                <w:szCs w:val="18"/>
              </w:rPr>
              <w:t xml:space="preserve"> IG PAB Index</w:t>
            </w:r>
          </w:p>
        </w:tc>
        <w:tc>
          <w:tcPr>
            <w:tcW w:w="764" w:type="pct"/>
          </w:tcPr>
          <w:p w14:paraId="7DC291BF" w14:textId="77777777" w:rsidR="005545A5" w:rsidRPr="00C63D7D" w:rsidRDefault="005545A5" w:rsidP="002F7429">
            <w:pPr>
              <w:spacing w:line="360" w:lineRule="auto"/>
              <w:jc w:val="center"/>
              <w:rPr>
                <w:sz w:val="18"/>
                <w:szCs w:val="18"/>
              </w:rPr>
            </w:pPr>
            <w:r w:rsidRPr="008357BE">
              <w:rPr>
                <w:sz w:val="18"/>
                <w:szCs w:val="18"/>
              </w:rPr>
              <w:t>IE00048UULY2</w:t>
            </w:r>
          </w:p>
        </w:tc>
        <w:tc>
          <w:tcPr>
            <w:tcW w:w="1393" w:type="pct"/>
          </w:tcPr>
          <w:p w14:paraId="2C5E3DFB" w14:textId="77777777" w:rsidR="005545A5" w:rsidRPr="004100DB" w:rsidRDefault="005545A5" w:rsidP="002F7429">
            <w:pPr>
              <w:spacing w:line="360" w:lineRule="auto"/>
              <w:jc w:val="center"/>
              <w:rPr>
                <w:sz w:val="18"/>
                <w:szCs w:val="18"/>
              </w:rPr>
            </w:pPr>
            <w:r>
              <w:rPr>
                <w:sz w:val="18"/>
                <w:szCs w:val="18"/>
              </w:rPr>
              <w:t>0.25%</w:t>
            </w:r>
          </w:p>
        </w:tc>
      </w:tr>
      <w:tr w:rsidR="005545A5" w:rsidRPr="004100DB" w14:paraId="7CE7D4DF" w14:textId="77777777" w:rsidTr="002F7429">
        <w:tc>
          <w:tcPr>
            <w:tcW w:w="1497" w:type="pct"/>
          </w:tcPr>
          <w:p w14:paraId="627081C0" w14:textId="77777777" w:rsidR="005545A5" w:rsidRPr="00C63D7D" w:rsidRDefault="005545A5" w:rsidP="002F7429">
            <w:pPr>
              <w:spacing w:line="360" w:lineRule="auto"/>
              <w:jc w:val="center"/>
              <w:rPr>
                <w:sz w:val="18"/>
                <w:szCs w:val="18"/>
              </w:rPr>
            </w:pPr>
            <w:proofErr w:type="spellStart"/>
            <w:r w:rsidRPr="008357BE">
              <w:rPr>
                <w:sz w:val="18"/>
                <w:szCs w:val="18"/>
              </w:rPr>
              <w:t>Fidelity</w:t>
            </w:r>
            <w:proofErr w:type="spellEnd"/>
            <w:r w:rsidRPr="008357BE">
              <w:rPr>
                <w:sz w:val="18"/>
                <w:szCs w:val="18"/>
              </w:rPr>
              <w:t xml:space="preserve"> </w:t>
            </w:r>
            <w:proofErr w:type="spellStart"/>
            <w:r w:rsidRPr="008357BE">
              <w:rPr>
                <w:sz w:val="18"/>
                <w:szCs w:val="18"/>
              </w:rPr>
              <w:t>Sustainable</w:t>
            </w:r>
            <w:proofErr w:type="spellEnd"/>
            <w:r w:rsidRPr="008357BE">
              <w:rPr>
                <w:sz w:val="18"/>
                <w:szCs w:val="18"/>
              </w:rPr>
              <w:t xml:space="preserve"> USD </w:t>
            </w:r>
            <w:proofErr w:type="spellStart"/>
            <w:r w:rsidRPr="008357BE">
              <w:rPr>
                <w:sz w:val="18"/>
                <w:szCs w:val="18"/>
              </w:rPr>
              <w:t>Corporate</w:t>
            </w:r>
            <w:proofErr w:type="spellEnd"/>
            <w:r w:rsidRPr="008357BE">
              <w:rPr>
                <w:sz w:val="18"/>
                <w:szCs w:val="18"/>
              </w:rPr>
              <w:t xml:space="preserve"> Bond Paris-</w:t>
            </w:r>
            <w:proofErr w:type="spellStart"/>
            <w:r w:rsidRPr="008357BE">
              <w:rPr>
                <w:sz w:val="18"/>
                <w:szCs w:val="18"/>
              </w:rPr>
              <w:t>Aligned</w:t>
            </w:r>
            <w:proofErr w:type="spellEnd"/>
            <w:r w:rsidRPr="008357BE">
              <w:rPr>
                <w:sz w:val="18"/>
                <w:szCs w:val="18"/>
              </w:rPr>
              <w:t xml:space="preserve"> </w:t>
            </w:r>
            <w:proofErr w:type="spellStart"/>
            <w:r w:rsidRPr="008357BE">
              <w:rPr>
                <w:sz w:val="18"/>
                <w:szCs w:val="18"/>
              </w:rPr>
              <w:t>Multifactor</w:t>
            </w:r>
            <w:proofErr w:type="spellEnd"/>
            <w:r w:rsidRPr="008357BE">
              <w:rPr>
                <w:sz w:val="18"/>
                <w:szCs w:val="18"/>
              </w:rPr>
              <w:t xml:space="preserve"> UCITS ETF</w:t>
            </w:r>
            <w:r>
              <w:rPr>
                <w:sz w:val="18"/>
                <w:szCs w:val="18"/>
              </w:rPr>
              <w:t xml:space="preserve"> (</w:t>
            </w:r>
            <w:proofErr w:type="spellStart"/>
            <w:r>
              <w:rPr>
                <w:sz w:val="18"/>
                <w:szCs w:val="18"/>
              </w:rPr>
              <w:t>Inc</w:t>
            </w:r>
            <w:proofErr w:type="spellEnd"/>
            <w:r>
              <w:rPr>
                <w:sz w:val="18"/>
                <w:szCs w:val="18"/>
              </w:rPr>
              <w:t>)</w:t>
            </w:r>
          </w:p>
        </w:tc>
        <w:tc>
          <w:tcPr>
            <w:tcW w:w="1346" w:type="pct"/>
          </w:tcPr>
          <w:p w14:paraId="112E9B03" w14:textId="77777777" w:rsidR="005545A5" w:rsidRPr="00C63D7D" w:rsidRDefault="005545A5" w:rsidP="002F7429">
            <w:pPr>
              <w:spacing w:line="360" w:lineRule="auto"/>
              <w:jc w:val="center"/>
              <w:rPr>
                <w:sz w:val="18"/>
                <w:szCs w:val="18"/>
              </w:rPr>
            </w:pPr>
            <w:proofErr w:type="spellStart"/>
            <w:r w:rsidRPr="008357BE">
              <w:rPr>
                <w:sz w:val="18"/>
                <w:szCs w:val="18"/>
              </w:rPr>
              <w:t>Solactive</w:t>
            </w:r>
            <w:proofErr w:type="spellEnd"/>
            <w:r w:rsidRPr="008357BE">
              <w:rPr>
                <w:sz w:val="18"/>
                <w:szCs w:val="18"/>
              </w:rPr>
              <w:t xml:space="preserve"> USD </w:t>
            </w:r>
            <w:proofErr w:type="spellStart"/>
            <w:r w:rsidRPr="008357BE">
              <w:rPr>
                <w:sz w:val="18"/>
                <w:szCs w:val="18"/>
              </w:rPr>
              <w:t>Corporate</w:t>
            </w:r>
            <w:proofErr w:type="spellEnd"/>
            <w:r w:rsidRPr="008357BE">
              <w:rPr>
                <w:sz w:val="18"/>
                <w:szCs w:val="18"/>
              </w:rPr>
              <w:t xml:space="preserve"> IG PAB Index</w:t>
            </w:r>
          </w:p>
        </w:tc>
        <w:tc>
          <w:tcPr>
            <w:tcW w:w="764" w:type="pct"/>
          </w:tcPr>
          <w:p w14:paraId="43FD8A05" w14:textId="77777777" w:rsidR="005545A5" w:rsidRPr="00C63D7D" w:rsidRDefault="005545A5" w:rsidP="002F7429">
            <w:pPr>
              <w:spacing w:line="360" w:lineRule="auto"/>
              <w:jc w:val="center"/>
              <w:rPr>
                <w:sz w:val="18"/>
                <w:szCs w:val="18"/>
              </w:rPr>
            </w:pPr>
            <w:r w:rsidRPr="008357BE">
              <w:rPr>
                <w:sz w:val="18"/>
                <w:szCs w:val="18"/>
              </w:rPr>
              <w:t>IE000JJQ6248</w:t>
            </w:r>
          </w:p>
        </w:tc>
        <w:tc>
          <w:tcPr>
            <w:tcW w:w="1393" w:type="pct"/>
          </w:tcPr>
          <w:p w14:paraId="70A4CA0A" w14:textId="77777777" w:rsidR="005545A5" w:rsidRPr="004100DB" w:rsidRDefault="005545A5" w:rsidP="002F7429">
            <w:pPr>
              <w:spacing w:line="360" w:lineRule="auto"/>
              <w:jc w:val="center"/>
              <w:rPr>
                <w:sz w:val="18"/>
                <w:szCs w:val="18"/>
              </w:rPr>
            </w:pPr>
            <w:r w:rsidRPr="008357BE">
              <w:rPr>
                <w:sz w:val="18"/>
                <w:szCs w:val="18"/>
              </w:rPr>
              <w:t>0.20%</w:t>
            </w:r>
          </w:p>
        </w:tc>
      </w:tr>
      <w:tr w:rsidR="005545A5" w:rsidRPr="004100DB" w14:paraId="42C7F840" w14:textId="77777777" w:rsidTr="002F7429">
        <w:tc>
          <w:tcPr>
            <w:tcW w:w="1497" w:type="pct"/>
          </w:tcPr>
          <w:p w14:paraId="64DE56EF" w14:textId="77777777" w:rsidR="005545A5" w:rsidRPr="00C63D7D" w:rsidRDefault="005545A5" w:rsidP="002F7429">
            <w:pPr>
              <w:spacing w:line="360" w:lineRule="auto"/>
              <w:jc w:val="center"/>
              <w:rPr>
                <w:sz w:val="18"/>
                <w:szCs w:val="18"/>
              </w:rPr>
            </w:pPr>
            <w:proofErr w:type="spellStart"/>
            <w:r w:rsidRPr="008357BE">
              <w:rPr>
                <w:sz w:val="18"/>
                <w:szCs w:val="18"/>
              </w:rPr>
              <w:t>Fidelity</w:t>
            </w:r>
            <w:proofErr w:type="spellEnd"/>
            <w:r w:rsidRPr="008357BE">
              <w:rPr>
                <w:sz w:val="18"/>
                <w:szCs w:val="18"/>
              </w:rPr>
              <w:t xml:space="preserve"> </w:t>
            </w:r>
            <w:proofErr w:type="spellStart"/>
            <w:r w:rsidRPr="008357BE">
              <w:rPr>
                <w:sz w:val="18"/>
                <w:szCs w:val="18"/>
              </w:rPr>
              <w:t>Sustainable</w:t>
            </w:r>
            <w:proofErr w:type="spellEnd"/>
            <w:r w:rsidRPr="008357BE">
              <w:rPr>
                <w:sz w:val="18"/>
                <w:szCs w:val="18"/>
              </w:rPr>
              <w:t xml:space="preserve"> USD </w:t>
            </w:r>
            <w:proofErr w:type="spellStart"/>
            <w:r w:rsidRPr="008357BE">
              <w:rPr>
                <w:sz w:val="18"/>
                <w:szCs w:val="18"/>
              </w:rPr>
              <w:t>Corporate</w:t>
            </w:r>
            <w:proofErr w:type="spellEnd"/>
            <w:r w:rsidRPr="008357BE">
              <w:rPr>
                <w:sz w:val="18"/>
                <w:szCs w:val="18"/>
              </w:rPr>
              <w:t xml:space="preserve"> Bond Paris-</w:t>
            </w:r>
            <w:proofErr w:type="spellStart"/>
            <w:r w:rsidRPr="008357BE">
              <w:rPr>
                <w:sz w:val="18"/>
                <w:szCs w:val="18"/>
              </w:rPr>
              <w:t>Aligned</w:t>
            </w:r>
            <w:proofErr w:type="spellEnd"/>
            <w:r w:rsidRPr="008357BE">
              <w:rPr>
                <w:sz w:val="18"/>
                <w:szCs w:val="18"/>
              </w:rPr>
              <w:t xml:space="preserve"> </w:t>
            </w:r>
            <w:proofErr w:type="spellStart"/>
            <w:r w:rsidRPr="008357BE">
              <w:rPr>
                <w:sz w:val="18"/>
                <w:szCs w:val="18"/>
              </w:rPr>
              <w:t>Multifactor</w:t>
            </w:r>
            <w:proofErr w:type="spellEnd"/>
            <w:r w:rsidRPr="008357BE">
              <w:rPr>
                <w:sz w:val="18"/>
                <w:szCs w:val="18"/>
              </w:rPr>
              <w:t xml:space="preserve"> UCITS ETF</w:t>
            </w:r>
            <w:r>
              <w:rPr>
                <w:sz w:val="18"/>
                <w:szCs w:val="18"/>
              </w:rPr>
              <w:t xml:space="preserve"> (</w:t>
            </w:r>
            <w:proofErr w:type="spellStart"/>
            <w:r w:rsidRPr="008357BE">
              <w:rPr>
                <w:sz w:val="18"/>
                <w:szCs w:val="18"/>
              </w:rPr>
              <w:t>Acc</w:t>
            </w:r>
            <w:proofErr w:type="spellEnd"/>
            <w:r w:rsidRPr="008357BE">
              <w:rPr>
                <w:sz w:val="18"/>
                <w:szCs w:val="18"/>
              </w:rPr>
              <w:t xml:space="preserve"> GBP </w:t>
            </w:r>
            <w:proofErr w:type="spellStart"/>
            <w:r w:rsidRPr="008357BE">
              <w:rPr>
                <w:sz w:val="18"/>
                <w:szCs w:val="18"/>
              </w:rPr>
              <w:t>Hedged</w:t>
            </w:r>
            <w:proofErr w:type="spellEnd"/>
            <w:r>
              <w:rPr>
                <w:sz w:val="18"/>
                <w:szCs w:val="18"/>
              </w:rPr>
              <w:t>)</w:t>
            </w:r>
          </w:p>
        </w:tc>
        <w:tc>
          <w:tcPr>
            <w:tcW w:w="1346" w:type="pct"/>
          </w:tcPr>
          <w:p w14:paraId="40BA0CA1" w14:textId="77777777" w:rsidR="005545A5" w:rsidRPr="00C63D7D" w:rsidRDefault="005545A5" w:rsidP="002F7429">
            <w:pPr>
              <w:spacing w:line="360" w:lineRule="auto"/>
              <w:jc w:val="center"/>
              <w:rPr>
                <w:sz w:val="18"/>
                <w:szCs w:val="18"/>
              </w:rPr>
            </w:pPr>
            <w:proofErr w:type="spellStart"/>
            <w:r w:rsidRPr="008357BE">
              <w:rPr>
                <w:sz w:val="18"/>
                <w:szCs w:val="18"/>
              </w:rPr>
              <w:t>Solactive</w:t>
            </w:r>
            <w:proofErr w:type="spellEnd"/>
            <w:r w:rsidRPr="008357BE">
              <w:rPr>
                <w:sz w:val="18"/>
                <w:szCs w:val="18"/>
              </w:rPr>
              <w:t xml:space="preserve"> USD </w:t>
            </w:r>
            <w:proofErr w:type="spellStart"/>
            <w:r w:rsidRPr="008357BE">
              <w:rPr>
                <w:sz w:val="18"/>
                <w:szCs w:val="18"/>
              </w:rPr>
              <w:t>Corporate</w:t>
            </w:r>
            <w:proofErr w:type="spellEnd"/>
            <w:r w:rsidRPr="008357BE">
              <w:rPr>
                <w:sz w:val="18"/>
                <w:szCs w:val="18"/>
              </w:rPr>
              <w:t xml:space="preserve"> IG PAB Index</w:t>
            </w:r>
          </w:p>
        </w:tc>
        <w:tc>
          <w:tcPr>
            <w:tcW w:w="764" w:type="pct"/>
          </w:tcPr>
          <w:p w14:paraId="3C83555B" w14:textId="77777777" w:rsidR="005545A5" w:rsidRPr="00C63D7D" w:rsidRDefault="005545A5" w:rsidP="002F7429">
            <w:pPr>
              <w:spacing w:line="360" w:lineRule="auto"/>
              <w:jc w:val="center"/>
              <w:rPr>
                <w:sz w:val="18"/>
                <w:szCs w:val="18"/>
              </w:rPr>
            </w:pPr>
            <w:r w:rsidRPr="008357BE">
              <w:rPr>
                <w:sz w:val="18"/>
                <w:szCs w:val="18"/>
              </w:rPr>
              <w:t>IE000X3MDCC5</w:t>
            </w:r>
          </w:p>
        </w:tc>
        <w:tc>
          <w:tcPr>
            <w:tcW w:w="1393" w:type="pct"/>
          </w:tcPr>
          <w:p w14:paraId="156E47DF" w14:textId="77777777" w:rsidR="005545A5" w:rsidRPr="004100DB" w:rsidRDefault="005545A5" w:rsidP="002F7429">
            <w:pPr>
              <w:spacing w:line="360" w:lineRule="auto"/>
              <w:jc w:val="center"/>
              <w:rPr>
                <w:sz w:val="18"/>
                <w:szCs w:val="18"/>
              </w:rPr>
            </w:pPr>
            <w:r>
              <w:rPr>
                <w:sz w:val="18"/>
                <w:szCs w:val="18"/>
              </w:rPr>
              <w:t>0.25%</w:t>
            </w:r>
          </w:p>
        </w:tc>
      </w:tr>
      <w:tr w:rsidR="005545A5" w:rsidRPr="004100DB" w14:paraId="268E664C" w14:textId="77777777" w:rsidTr="002F7429">
        <w:tc>
          <w:tcPr>
            <w:tcW w:w="1497" w:type="pct"/>
          </w:tcPr>
          <w:p w14:paraId="0C8B789C" w14:textId="77777777" w:rsidR="005545A5" w:rsidRPr="008357BE" w:rsidRDefault="005545A5" w:rsidP="002F7429">
            <w:pPr>
              <w:spacing w:line="360" w:lineRule="auto"/>
              <w:jc w:val="center"/>
              <w:rPr>
                <w:sz w:val="18"/>
                <w:szCs w:val="18"/>
              </w:rPr>
            </w:pPr>
            <w:proofErr w:type="spellStart"/>
            <w:r w:rsidRPr="008357BE">
              <w:rPr>
                <w:sz w:val="18"/>
                <w:szCs w:val="18"/>
              </w:rPr>
              <w:t>Fidelity</w:t>
            </w:r>
            <w:proofErr w:type="spellEnd"/>
            <w:r w:rsidRPr="008357BE">
              <w:rPr>
                <w:sz w:val="18"/>
                <w:szCs w:val="18"/>
              </w:rPr>
              <w:t xml:space="preserve"> </w:t>
            </w:r>
            <w:proofErr w:type="spellStart"/>
            <w:r w:rsidRPr="008357BE">
              <w:rPr>
                <w:sz w:val="18"/>
                <w:szCs w:val="18"/>
              </w:rPr>
              <w:t>Sustainable</w:t>
            </w:r>
            <w:proofErr w:type="spellEnd"/>
            <w:r w:rsidRPr="008357BE">
              <w:rPr>
                <w:sz w:val="18"/>
                <w:szCs w:val="18"/>
              </w:rPr>
              <w:t xml:space="preserve"> USD </w:t>
            </w:r>
            <w:proofErr w:type="spellStart"/>
            <w:r w:rsidRPr="008357BE">
              <w:rPr>
                <w:sz w:val="18"/>
                <w:szCs w:val="18"/>
              </w:rPr>
              <w:t>Corporate</w:t>
            </w:r>
            <w:proofErr w:type="spellEnd"/>
            <w:r w:rsidRPr="008357BE">
              <w:rPr>
                <w:sz w:val="18"/>
                <w:szCs w:val="18"/>
              </w:rPr>
              <w:t xml:space="preserve"> Bond Paris-</w:t>
            </w:r>
            <w:proofErr w:type="spellStart"/>
            <w:r w:rsidRPr="008357BE">
              <w:rPr>
                <w:sz w:val="18"/>
                <w:szCs w:val="18"/>
              </w:rPr>
              <w:t>Aligned</w:t>
            </w:r>
            <w:proofErr w:type="spellEnd"/>
            <w:r w:rsidRPr="008357BE">
              <w:rPr>
                <w:sz w:val="18"/>
                <w:szCs w:val="18"/>
              </w:rPr>
              <w:t xml:space="preserve"> </w:t>
            </w:r>
            <w:proofErr w:type="spellStart"/>
            <w:r w:rsidRPr="008357BE">
              <w:rPr>
                <w:sz w:val="18"/>
                <w:szCs w:val="18"/>
              </w:rPr>
              <w:t>Multifactor</w:t>
            </w:r>
            <w:proofErr w:type="spellEnd"/>
            <w:r w:rsidRPr="008357BE">
              <w:rPr>
                <w:sz w:val="18"/>
                <w:szCs w:val="18"/>
              </w:rPr>
              <w:t xml:space="preserve"> UCITS ETF</w:t>
            </w:r>
            <w:r>
              <w:rPr>
                <w:sz w:val="18"/>
                <w:szCs w:val="18"/>
              </w:rPr>
              <w:t xml:space="preserve"> (</w:t>
            </w:r>
            <w:proofErr w:type="spellStart"/>
            <w:r w:rsidRPr="008357BE">
              <w:rPr>
                <w:sz w:val="18"/>
                <w:szCs w:val="18"/>
              </w:rPr>
              <w:t>Inc</w:t>
            </w:r>
            <w:proofErr w:type="spellEnd"/>
            <w:r w:rsidRPr="008357BE">
              <w:rPr>
                <w:sz w:val="18"/>
                <w:szCs w:val="18"/>
              </w:rPr>
              <w:t xml:space="preserve"> EUR </w:t>
            </w:r>
            <w:proofErr w:type="spellStart"/>
            <w:r w:rsidRPr="008357BE">
              <w:rPr>
                <w:sz w:val="18"/>
                <w:szCs w:val="18"/>
              </w:rPr>
              <w:t>Hedged</w:t>
            </w:r>
            <w:proofErr w:type="spellEnd"/>
            <w:r>
              <w:rPr>
                <w:sz w:val="18"/>
                <w:szCs w:val="18"/>
              </w:rPr>
              <w:t>)</w:t>
            </w:r>
          </w:p>
        </w:tc>
        <w:tc>
          <w:tcPr>
            <w:tcW w:w="1346" w:type="pct"/>
          </w:tcPr>
          <w:p w14:paraId="5D9EA57A" w14:textId="77777777" w:rsidR="005545A5" w:rsidRPr="008357BE" w:rsidRDefault="005545A5" w:rsidP="002F7429">
            <w:pPr>
              <w:spacing w:line="360" w:lineRule="auto"/>
              <w:jc w:val="center"/>
              <w:rPr>
                <w:sz w:val="18"/>
                <w:szCs w:val="18"/>
              </w:rPr>
            </w:pPr>
            <w:proofErr w:type="spellStart"/>
            <w:r w:rsidRPr="008357BE">
              <w:rPr>
                <w:sz w:val="18"/>
                <w:szCs w:val="18"/>
              </w:rPr>
              <w:t>Solactive</w:t>
            </w:r>
            <w:proofErr w:type="spellEnd"/>
            <w:r w:rsidRPr="008357BE">
              <w:rPr>
                <w:sz w:val="18"/>
                <w:szCs w:val="18"/>
              </w:rPr>
              <w:t xml:space="preserve"> USD </w:t>
            </w:r>
            <w:proofErr w:type="spellStart"/>
            <w:r w:rsidRPr="008357BE">
              <w:rPr>
                <w:sz w:val="18"/>
                <w:szCs w:val="18"/>
              </w:rPr>
              <w:t>Corporate</w:t>
            </w:r>
            <w:proofErr w:type="spellEnd"/>
            <w:r w:rsidRPr="008357BE">
              <w:rPr>
                <w:sz w:val="18"/>
                <w:szCs w:val="18"/>
              </w:rPr>
              <w:t xml:space="preserve"> IG PAB Index</w:t>
            </w:r>
          </w:p>
        </w:tc>
        <w:tc>
          <w:tcPr>
            <w:tcW w:w="764" w:type="pct"/>
          </w:tcPr>
          <w:p w14:paraId="2A3F2AFD" w14:textId="77777777" w:rsidR="005545A5" w:rsidRPr="008357BE" w:rsidRDefault="005545A5" w:rsidP="002F7429">
            <w:pPr>
              <w:spacing w:line="360" w:lineRule="auto"/>
              <w:jc w:val="center"/>
              <w:rPr>
                <w:sz w:val="18"/>
                <w:szCs w:val="18"/>
              </w:rPr>
            </w:pPr>
            <w:r w:rsidRPr="008357BE">
              <w:rPr>
                <w:sz w:val="18"/>
                <w:szCs w:val="18"/>
              </w:rPr>
              <w:t>IE0001DM7O60</w:t>
            </w:r>
          </w:p>
        </w:tc>
        <w:tc>
          <w:tcPr>
            <w:tcW w:w="1393" w:type="pct"/>
          </w:tcPr>
          <w:p w14:paraId="5460F471" w14:textId="77777777" w:rsidR="005545A5" w:rsidRDefault="005545A5" w:rsidP="002F7429">
            <w:pPr>
              <w:spacing w:line="360" w:lineRule="auto"/>
              <w:jc w:val="center"/>
              <w:rPr>
                <w:sz w:val="18"/>
                <w:szCs w:val="18"/>
              </w:rPr>
            </w:pPr>
            <w:r>
              <w:rPr>
                <w:sz w:val="18"/>
                <w:szCs w:val="18"/>
              </w:rPr>
              <w:t>0.25%</w:t>
            </w:r>
          </w:p>
        </w:tc>
      </w:tr>
    </w:tbl>
    <w:p w14:paraId="3FF743E2" w14:textId="77777777" w:rsidR="005545A5" w:rsidRDefault="005545A5" w:rsidP="005545A5">
      <w:pPr>
        <w:spacing w:line="360" w:lineRule="auto"/>
        <w:jc w:val="center"/>
        <w:rPr>
          <w:b/>
          <w:bCs/>
          <w:sz w:val="18"/>
          <w:szCs w:val="18"/>
        </w:rPr>
      </w:pPr>
    </w:p>
    <w:p w14:paraId="246CC311" w14:textId="77777777" w:rsidR="00C250E8" w:rsidRDefault="00C250E8" w:rsidP="00C250E8">
      <w:pPr>
        <w:pStyle w:val="F2-zkladn"/>
      </w:pPr>
    </w:p>
    <w:p w14:paraId="18CCCF28" w14:textId="77777777" w:rsidR="00C250E8" w:rsidRPr="00C250E8" w:rsidRDefault="00C250E8" w:rsidP="00C250E8">
      <w:pPr>
        <w:pStyle w:val="F2-zkladn"/>
      </w:pPr>
    </w:p>
    <w:p w14:paraId="0BF3F984" w14:textId="77777777" w:rsidR="005545A5" w:rsidRPr="004100DB" w:rsidRDefault="005545A5" w:rsidP="005545A5">
      <w:pPr>
        <w:spacing w:line="360" w:lineRule="auto"/>
        <w:rPr>
          <w:b/>
          <w:bCs/>
          <w:sz w:val="18"/>
          <w:szCs w:val="18"/>
          <w:u w:val="single"/>
        </w:rPr>
      </w:pPr>
      <w:proofErr w:type="spellStart"/>
      <w:r w:rsidRPr="004100DB">
        <w:rPr>
          <w:b/>
          <w:bCs/>
          <w:sz w:val="18"/>
          <w:szCs w:val="18"/>
          <w:u w:val="single"/>
        </w:rPr>
        <w:t>Further</w:t>
      </w:r>
      <w:proofErr w:type="spellEnd"/>
      <w:r w:rsidRPr="004100DB">
        <w:rPr>
          <w:b/>
          <w:bCs/>
          <w:sz w:val="18"/>
          <w:szCs w:val="18"/>
          <w:u w:val="single"/>
        </w:rPr>
        <w:t xml:space="preserve"> </w:t>
      </w:r>
      <w:proofErr w:type="spellStart"/>
      <w:r w:rsidRPr="004100DB">
        <w:rPr>
          <w:b/>
          <w:bCs/>
          <w:sz w:val="18"/>
          <w:szCs w:val="18"/>
          <w:u w:val="single"/>
        </w:rPr>
        <w:t>details</w:t>
      </w:r>
      <w:proofErr w:type="spellEnd"/>
      <w:r w:rsidRPr="004100DB">
        <w:rPr>
          <w:b/>
          <w:bCs/>
          <w:sz w:val="18"/>
          <w:szCs w:val="18"/>
          <w:u w:val="single"/>
        </w:rPr>
        <w:t xml:space="preserve"> on</w:t>
      </w:r>
      <w:r>
        <w:rPr>
          <w:b/>
          <w:bCs/>
          <w:sz w:val="18"/>
          <w:szCs w:val="18"/>
          <w:u w:val="single"/>
        </w:rPr>
        <w:t xml:space="preserve"> </w:t>
      </w:r>
      <w:proofErr w:type="spellStart"/>
      <w:r>
        <w:rPr>
          <w:b/>
          <w:bCs/>
          <w:sz w:val="18"/>
          <w:szCs w:val="18"/>
          <w:u w:val="single"/>
        </w:rPr>
        <w:t>the</w:t>
      </w:r>
      <w:proofErr w:type="spellEnd"/>
      <w:r>
        <w:rPr>
          <w:b/>
          <w:bCs/>
          <w:sz w:val="18"/>
          <w:szCs w:val="18"/>
          <w:u w:val="single"/>
        </w:rPr>
        <w:t xml:space="preserve"> i</w:t>
      </w:r>
      <w:r w:rsidRPr="004100DB">
        <w:rPr>
          <w:b/>
          <w:bCs/>
          <w:sz w:val="18"/>
          <w:szCs w:val="18"/>
          <w:u w:val="single"/>
        </w:rPr>
        <w:t>ndex</w:t>
      </w:r>
    </w:p>
    <w:p w14:paraId="29B7EA36" w14:textId="77777777" w:rsidR="005545A5" w:rsidRPr="00E5004E" w:rsidRDefault="005545A5" w:rsidP="005545A5">
      <w:pPr>
        <w:snapToGrid w:val="0"/>
        <w:spacing w:after="200" w:line="276" w:lineRule="auto"/>
        <w:ind w:right="-641"/>
        <w:rPr>
          <w:iCs/>
          <w:sz w:val="18"/>
          <w:szCs w:val="18"/>
          <w:lang w:eastAsia="en-US"/>
        </w:rPr>
      </w:pPr>
      <w:proofErr w:type="spellStart"/>
      <w:r w:rsidRPr="00E5004E">
        <w:rPr>
          <w:iCs/>
          <w:sz w:val="18"/>
          <w:szCs w:val="18"/>
          <w:lang w:eastAsia="en-US"/>
        </w:rPr>
        <w:t>Founded</w:t>
      </w:r>
      <w:proofErr w:type="spellEnd"/>
      <w:r w:rsidRPr="00E5004E">
        <w:rPr>
          <w:iCs/>
          <w:sz w:val="18"/>
          <w:szCs w:val="18"/>
          <w:lang w:eastAsia="en-US"/>
        </w:rPr>
        <w:t xml:space="preserve"> in 2007, </w:t>
      </w:r>
      <w:proofErr w:type="spellStart"/>
      <w:r w:rsidRPr="00E5004E">
        <w:rPr>
          <w:iCs/>
          <w:sz w:val="18"/>
          <w:szCs w:val="18"/>
          <w:lang w:eastAsia="en-US"/>
        </w:rPr>
        <w:t>Solactive</w:t>
      </w:r>
      <w:proofErr w:type="spellEnd"/>
      <w:r w:rsidRPr="00E5004E">
        <w:rPr>
          <w:iCs/>
          <w:sz w:val="18"/>
          <w:szCs w:val="18"/>
          <w:lang w:eastAsia="en-US"/>
        </w:rPr>
        <w:t xml:space="preserve"> </w:t>
      </w:r>
      <w:proofErr w:type="spellStart"/>
      <w:r w:rsidRPr="00E5004E">
        <w:rPr>
          <w:iCs/>
          <w:sz w:val="18"/>
          <w:szCs w:val="18"/>
          <w:lang w:eastAsia="en-US"/>
        </w:rPr>
        <w:t>have</w:t>
      </w:r>
      <w:proofErr w:type="spellEnd"/>
      <w:r w:rsidRPr="00E5004E">
        <w:rPr>
          <w:iCs/>
          <w:sz w:val="18"/>
          <w:szCs w:val="18"/>
          <w:lang w:eastAsia="en-US"/>
        </w:rPr>
        <w:t xml:space="preserve"> </w:t>
      </w:r>
      <w:proofErr w:type="spellStart"/>
      <w:r w:rsidRPr="00E5004E">
        <w:rPr>
          <w:iCs/>
          <w:sz w:val="18"/>
          <w:szCs w:val="18"/>
          <w:lang w:eastAsia="en-US"/>
        </w:rPr>
        <w:t>built</w:t>
      </w:r>
      <w:proofErr w:type="spellEnd"/>
      <w:r w:rsidRPr="00E5004E">
        <w:rPr>
          <w:iCs/>
          <w:sz w:val="18"/>
          <w:szCs w:val="18"/>
          <w:lang w:eastAsia="en-US"/>
        </w:rPr>
        <w:t xml:space="preserve"> a solid </w:t>
      </w:r>
      <w:proofErr w:type="spellStart"/>
      <w:r w:rsidRPr="00E5004E">
        <w:rPr>
          <w:iCs/>
          <w:sz w:val="18"/>
          <w:szCs w:val="18"/>
          <w:lang w:eastAsia="en-US"/>
        </w:rPr>
        <w:t>reputation</w:t>
      </w:r>
      <w:proofErr w:type="spellEnd"/>
      <w:r w:rsidRPr="00E5004E">
        <w:rPr>
          <w:iCs/>
          <w:sz w:val="18"/>
          <w:szCs w:val="18"/>
          <w:lang w:eastAsia="en-US"/>
        </w:rPr>
        <w:t xml:space="preserve"> as </w:t>
      </w:r>
      <w:proofErr w:type="spellStart"/>
      <w:r w:rsidRPr="00E5004E">
        <w:rPr>
          <w:iCs/>
          <w:sz w:val="18"/>
          <w:szCs w:val="18"/>
          <w:lang w:eastAsia="en-US"/>
        </w:rPr>
        <w:t>an</w:t>
      </w:r>
      <w:proofErr w:type="spellEnd"/>
      <w:r w:rsidRPr="00E5004E">
        <w:rPr>
          <w:iCs/>
          <w:sz w:val="18"/>
          <w:szCs w:val="18"/>
          <w:lang w:eastAsia="en-US"/>
        </w:rPr>
        <w:t xml:space="preserve"> index and ESG </w:t>
      </w:r>
      <w:proofErr w:type="spellStart"/>
      <w:r w:rsidRPr="00E5004E">
        <w:rPr>
          <w:iCs/>
          <w:sz w:val="18"/>
          <w:szCs w:val="18"/>
          <w:lang w:eastAsia="en-US"/>
        </w:rPr>
        <w:t>research</w:t>
      </w:r>
      <w:proofErr w:type="spellEnd"/>
      <w:r w:rsidRPr="00E5004E">
        <w:rPr>
          <w:iCs/>
          <w:sz w:val="18"/>
          <w:szCs w:val="18"/>
          <w:lang w:eastAsia="en-US"/>
        </w:rPr>
        <w:t xml:space="preserve"> provider, </w:t>
      </w:r>
      <w:proofErr w:type="spellStart"/>
      <w:r w:rsidRPr="00E5004E">
        <w:rPr>
          <w:iCs/>
          <w:sz w:val="18"/>
          <w:szCs w:val="18"/>
          <w:lang w:eastAsia="en-US"/>
        </w:rPr>
        <w:t>recognised</w:t>
      </w:r>
      <w:proofErr w:type="spellEnd"/>
      <w:r w:rsidRPr="00E5004E">
        <w:rPr>
          <w:iCs/>
          <w:sz w:val="18"/>
          <w:szCs w:val="18"/>
          <w:lang w:eastAsia="en-US"/>
        </w:rPr>
        <w:t xml:space="preserve"> </w:t>
      </w:r>
      <w:proofErr w:type="spellStart"/>
      <w:r w:rsidRPr="00E5004E">
        <w:rPr>
          <w:iCs/>
          <w:sz w:val="18"/>
          <w:szCs w:val="18"/>
          <w:lang w:eastAsia="en-US"/>
        </w:rPr>
        <w:t>for</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speed, flexibility, </w:t>
      </w:r>
      <w:proofErr w:type="spellStart"/>
      <w:r w:rsidRPr="00E5004E">
        <w:rPr>
          <w:iCs/>
          <w:sz w:val="18"/>
          <w:szCs w:val="18"/>
          <w:lang w:eastAsia="en-US"/>
        </w:rPr>
        <w:t>quality</w:t>
      </w:r>
      <w:proofErr w:type="spellEnd"/>
      <w:r w:rsidRPr="00E5004E">
        <w:rPr>
          <w:iCs/>
          <w:sz w:val="18"/>
          <w:szCs w:val="18"/>
          <w:lang w:eastAsia="en-US"/>
        </w:rPr>
        <w:t xml:space="preserve"> and </w:t>
      </w:r>
      <w:proofErr w:type="spellStart"/>
      <w:r w:rsidRPr="00E5004E">
        <w:rPr>
          <w:iCs/>
          <w:sz w:val="18"/>
          <w:szCs w:val="18"/>
          <w:lang w:eastAsia="en-US"/>
        </w:rPr>
        <w:t>proactivity</w:t>
      </w:r>
      <w:proofErr w:type="spellEnd"/>
      <w:r w:rsidRPr="00E5004E">
        <w:rPr>
          <w:iCs/>
          <w:sz w:val="18"/>
          <w:szCs w:val="18"/>
          <w:lang w:eastAsia="en-US"/>
        </w:rPr>
        <w:t xml:space="preserve">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their</w:t>
      </w:r>
      <w:proofErr w:type="spellEnd"/>
      <w:r w:rsidRPr="00E5004E">
        <w:rPr>
          <w:iCs/>
          <w:sz w:val="18"/>
          <w:szCs w:val="18"/>
          <w:lang w:eastAsia="en-US"/>
        </w:rPr>
        <w:t xml:space="preserve"> index development and </w:t>
      </w:r>
      <w:proofErr w:type="spellStart"/>
      <w:r w:rsidRPr="00E5004E">
        <w:rPr>
          <w:iCs/>
          <w:sz w:val="18"/>
          <w:szCs w:val="18"/>
          <w:lang w:eastAsia="en-US"/>
        </w:rPr>
        <w:t>administration</w:t>
      </w:r>
      <w:proofErr w:type="spellEnd"/>
      <w:r w:rsidRPr="00E5004E">
        <w:rPr>
          <w:iCs/>
          <w:sz w:val="18"/>
          <w:szCs w:val="18"/>
          <w:lang w:eastAsia="en-US"/>
        </w:rPr>
        <w:t xml:space="preserve">. </w:t>
      </w:r>
      <w:proofErr w:type="spellStart"/>
      <w:r w:rsidRPr="00E5004E">
        <w:rPr>
          <w:iCs/>
          <w:sz w:val="18"/>
          <w:szCs w:val="18"/>
          <w:lang w:eastAsia="en-US"/>
        </w:rPr>
        <w:t>Importantly</w:t>
      </w:r>
      <w:proofErr w:type="spellEnd"/>
      <w:r w:rsidRPr="00E5004E">
        <w:rPr>
          <w:iCs/>
          <w:sz w:val="18"/>
          <w:szCs w:val="18"/>
          <w:lang w:eastAsia="en-US"/>
        </w:rPr>
        <w:t xml:space="preserve">, </w:t>
      </w:r>
      <w:proofErr w:type="spellStart"/>
      <w:r w:rsidRPr="00E5004E">
        <w:rPr>
          <w:iCs/>
          <w:sz w:val="18"/>
          <w:szCs w:val="18"/>
          <w:lang w:eastAsia="en-US"/>
        </w:rPr>
        <w:t>they</w:t>
      </w:r>
      <w:proofErr w:type="spellEnd"/>
      <w:r w:rsidRPr="00E5004E">
        <w:rPr>
          <w:iCs/>
          <w:sz w:val="18"/>
          <w:szCs w:val="18"/>
          <w:lang w:eastAsia="en-US"/>
        </w:rPr>
        <w:t xml:space="preserve"> are a </w:t>
      </w:r>
      <w:proofErr w:type="spellStart"/>
      <w:r w:rsidRPr="00E5004E">
        <w:rPr>
          <w:iCs/>
          <w:sz w:val="18"/>
          <w:szCs w:val="18"/>
          <w:lang w:eastAsia="en-US"/>
        </w:rPr>
        <w:t>leading</w:t>
      </w:r>
      <w:proofErr w:type="spellEnd"/>
      <w:r w:rsidRPr="00E5004E">
        <w:rPr>
          <w:iCs/>
          <w:sz w:val="18"/>
          <w:szCs w:val="18"/>
          <w:lang w:eastAsia="en-US"/>
        </w:rPr>
        <w:t xml:space="preserve"> provider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fixed</w:t>
      </w:r>
      <w:proofErr w:type="spellEnd"/>
      <w:r w:rsidRPr="00E5004E">
        <w:rPr>
          <w:iCs/>
          <w:sz w:val="18"/>
          <w:szCs w:val="18"/>
          <w:lang w:eastAsia="en-US"/>
        </w:rPr>
        <w:t xml:space="preserve"> </w:t>
      </w:r>
      <w:proofErr w:type="spellStart"/>
      <w:r w:rsidRPr="00E5004E">
        <w:rPr>
          <w:iCs/>
          <w:sz w:val="18"/>
          <w:szCs w:val="18"/>
          <w:lang w:eastAsia="en-US"/>
        </w:rPr>
        <w:t>income</w:t>
      </w:r>
      <w:proofErr w:type="spellEnd"/>
      <w:r w:rsidRPr="00E5004E">
        <w:rPr>
          <w:iCs/>
          <w:sz w:val="18"/>
          <w:szCs w:val="18"/>
          <w:lang w:eastAsia="en-US"/>
        </w:rPr>
        <w:t xml:space="preserve"> ESG </w:t>
      </w:r>
      <w:proofErr w:type="spellStart"/>
      <w:r w:rsidRPr="00E5004E">
        <w:rPr>
          <w:iCs/>
          <w:sz w:val="18"/>
          <w:szCs w:val="18"/>
          <w:lang w:eastAsia="en-US"/>
        </w:rPr>
        <w:t>indices</w:t>
      </w:r>
      <w:proofErr w:type="spellEnd"/>
      <w:r w:rsidRPr="00E5004E">
        <w:rPr>
          <w:iCs/>
          <w:sz w:val="18"/>
          <w:szCs w:val="18"/>
          <w:lang w:eastAsia="en-US"/>
        </w:rPr>
        <w:t xml:space="preserve">, </w:t>
      </w:r>
      <w:proofErr w:type="spellStart"/>
      <w:r w:rsidRPr="00E5004E">
        <w:rPr>
          <w:iCs/>
          <w:sz w:val="18"/>
          <w:szCs w:val="18"/>
          <w:lang w:eastAsia="en-US"/>
        </w:rPr>
        <w:t>launching</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world’s</w:t>
      </w:r>
      <w:proofErr w:type="spellEnd"/>
      <w:r w:rsidRPr="00E5004E">
        <w:rPr>
          <w:iCs/>
          <w:sz w:val="18"/>
          <w:szCs w:val="18"/>
          <w:lang w:eastAsia="en-US"/>
        </w:rPr>
        <w:t xml:space="preserve"> </w:t>
      </w:r>
      <w:proofErr w:type="spellStart"/>
      <w:r w:rsidRPr="00E5004E">
        <w:rPr>
          <w:iCs/>
          <w:sz w:val="18"/>
          <w:szCs w:val="18"/>
          <w:lang w:eastAsia="en-US"/>
        </w:rPr>
        <w:t>first</w:t>
      </w:r>
      <w:proofErr w:type="spellEnd"/>
      <w:r w:rsidRPr="00E5004E">
        <w:rPr>
          <w:iCs/>
          <w:sz w:val="18"/>
          <w:szCs w:val="18"/>
          <w:lang w:eastAsia="en-US"/>
        </w:rPr>
        <w:t xml:space="preserve"> Paris </w:t>
      </w:r>
      <w:proofErr w:type="spellStart"/>
      <w:r w:rsidRPr="00E5004E">
        <w:rPr>
          <w:iCs/>
          <w:sz w:val="18"/>
          <w:szCs w:val="18"/>
          <w:lang w:eastAsia="en-US"/>
        </w:rPr>
        <w:t>Aligned</w:t>
      </w:r>
      <w:proofErr w:type="spellEnd"/>
      <w:r w:rsidRPr="00E5004E">
        <w:rPr>
          <w:iCs/>
          <w:sz w:val="18"/>
          <w:szCs w:val="18"/>
          <w:lang w:eastAsia="en-US"/>
        </w:rPr>
        <w:t xml:space="preserve"> </w:t>
      </w:r>
      <w:proofErr w:type="spellStart"/>
      <w:r w:rsidRPr="00E5004E">
        <w:rPr>
          <w:iCs/>
          <w:sz w:val="18"/>
          <w:szCs w:val="18"/>
          <w:lang w:eastAsia="en-US"/>
        </w:rPr>
        <w:t>Benchmarks</w:t>
      </w:r>
      <w:proofErr w:type="spellEnd"/>
      <w:r w:rsidRPr="00E5004E">
        <w:rPr>
          <w:iCs/>
          <w:sz w:val="18"/>
          <w:szCs w:val="18"/>
          <w:lang w:eastAsia="en-US"/>
        </w:rPr>
        <w:t xml:space="preserve"> (</w:t>
      </w:r>
      <w:proofErr w:type="spellStart"/>
      <w:r w:rsidRPr="00E5004E">
        <w:rPr>
          <w:iCs/>
          <w:sz w:val="18"/>
          <w:szCs w:val="18"/>
          <w:lang w:eastAsia="en-US"/>
        </w:rPr>
        <w:t>PABs</w:t>
      </w:r>
      <w:proofErr w:type="spellEnd"/>
      <w:r w:rsidRPr="00E5004E">
        <w:rPr>
          <w:iCs/>
          <w:sz w:val="18"/>
          <w:szCs w:val="18"/>
          <w:lang w:eastAsia="en-US"/>
        </w:rPr>
        <w:t xml:space="preserve">) in 2020 </w:t>
      </w:r>
      <w:proofErr w:type="spellStart"/>
      <w:r w:rsidRPr="00E5004E">
        <w:rPr>
          <w:iCs/>
          <w:sz w:val="18"/>
          <w:szCs w:val="18"/>
          <w:lang w:eastAsia="en-US"/>
        </w:rPr>
        <w:t>when</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European</w:t>
      </w:r>
      <w:proofErr w:type="spellEnd"/>
      <w:r w:rsidRPr="00E5004E">
        <w:rPr>
          <w:iCs/>
          <w:sz w:val="18"/>
          <w:szCs w:val="18"/>
          <w:lang w:eastAsia="en-US"/>
        </w:rPr>
        <w:t xml:space="preserve"> </w:t>
      </w:r>
      <w:proofErr w:type="spellStart"/>
      <w:r w:rsidRPr="00E5004E">
        <w:rPr>
          <w:iCs/>
          <w:sz w:val="18"/>
          <w:szCs w:val="18"/>
          <w:lang w:eastAsia="en-US"/>
        </w:rPr>
        <w:lastRenderedPageBreak/>
        <w:t>Commission’s</w:t>
      </w:r>
      <w:proofErr w:type="spellEnd"/>
      <w:r w:rsidRPr="00E5004E">
        <w:rPr>
          <w:iCs/>
          <w:sz w:val="18"/>
          <w:szCs w:val="18"/>
          <w:lang w:eastAsia="en-US"/>
        </w:rPr>
        <w:t xml:space="preserve"> PAB </w:t>
      </w:r>
      <w:proofErr w:type="spellStart"/>
      <w:r w:rsidRPr="00E5004E">
        <w:rPr>
          <w:iCs/>
          <w:sz w:val="18"/>
          <w:szCs w:val="18"/>
          <w:lang w:eastAsia="en-US"/>
        </w:rPr>
        <w:t>requirements</w:t>
      </w:r>
      <w:proofErr w:type="spellEnd"/>
      <w:r w:rsidRPr="00E5004E">
        <w:rPr>
          <w:iCs/>
          <w:sz w:val="18"/>
          <w:szCs w:val="18"/>
          <w:lang w:eastAsia="en-US"/>
        </w:rPr>
        <w:t xml:space="preserve"> </w:t>
      </w:r>
      <w:proofErr w:type="spellStart"/>
      <w:r w:rsidRPr="00E5004E">
        <w:rPr>
          <w:iCs/>
          <w:sz w:val="18"/>
          <w:szCs w:val="18"/>
          <w:lang w:eastAsia="en-US"/>
        </w:rPr>
        <w:t>were</w:t>
      </w:r>
      <w:proofErr w:type="spellEnd"/>
      <w:r w:rsidRPr="00E5004E">
        <w:rPr>
          <w:iCs/>
          <w:sz w:val="18"/>
          <w:szCs w:val="18"/>
          <w:lang w:eastAsia="en-US"/>
        </w:rPr>
        <w:t xml:space="preserve"> </w:t>
      </w:r>
      <w:proofErr w:type="spellStart"/>
      <w:r w:rsidRPr="00E5004E">
        <w:rPr>
          <w:iCs/>
          <w:sz w:val="18"/>
          <w:szCs w:val="18"/>
          <w:lang w:eastAsia="en-US"/>
        </w:rPr>
        <w:t>still</w:t>
      </w:r>
      <w:proofErr w:type="spellEnd"/>
      <w:r w:rsidRPr="00E5004E">
        <w:rPr>
          <w:iCs/>
          <w:sz w:val="18"/>
          <w:szCs w:val="18"/>
          <w:lang w:eastAsia="en-US"/>
        </w:rPr>
        <w:t xml:space="preserve"> </w:t>
      </w:r>
      <w:proofErr w:type="spellStart"/>
      <w:r w:rsidRPr="00E5004E">
        <w:rPr>
          <w:iCs/>
          <w:sz w:val="18"/>
          <w:szCs w:val="18"/>
          <w:lang w:eastAsia="en-US"/>
        </w:rPr>
        <w:t>provisional</w:t>
      </w:r>
      <w:proofErr w:type="spellEnd"/>
      <w:r w:rsidRPr="00E5004E">
        <w:rPr>
          <w:iCs/>
          <w:sz w:val="18"/>
          <w:szCs w:val="18"/>
          <w:lang w:eastAsia="en-US"/>
        </w:rPr>
        <w:t xml:space="preserve">. </w:t>
      </w:r>
      <w:proofErr w:type="spellStart"/>
      <w:r w:rsidRPr="00E5004E">
        <w:rPr>
          <w:iCs/>
          <w:sz w:val="18"/>
          <w:szCs w:val="18"/>
          <w:lang w:eastAsia="en-US"/>
        </w:rPr>
        <w:t>Today</w:t>
      </w:r>
      <w:proofErr w:type="spellEnd"/>
      <w:r w:rsidRPr="00E5004E">
        <w:rPr>
          <w:iCs/>
          <w:sz w:val="18"/>
          <w:szCs w:val="18"/>
          <w:lang w:eastAsia="en-US"/>
        </w:rPr>
        <w:t xml:space="preserve">, </w:t>
      </w:r>
      <w:proofErr w:type="spellStart"/>
      <w:r w:rsidRPr="00E5004E">
        <w:rPr>
          <w:iCs/>
          <w:sz w:val="18"/>
          <w:szCs w:val="18"/>
          <w:lang w:eastAsia="en-US"/>
        </w:rPr>
        <w:t>their</w:t>
      </w:r>
      <w:proofErr w:type="spellEnd"/>
      <w:r w:rsidRPr="00E5004E">
        <w:rPr>
          <w:iCs/>
          <w:sz w:val="18"/>
          <w:szCs w:val="18"/>
          <w:lang w:eastAsia="en-US"/>
        </w:rPr>
        <w:t xml:space="preserve"> </w:t>
      </w:r>
      <w:proofErr w:type="spellStart"/>
      <w:r w:rsidRPr="00E5004E">
        <w:rPr>
          <w:iCs/>
          <w:sz w:val="18"/>
          <w:szCs w:val="18"/>
          <w:lang w:eastAsia="en-US"/>
        </w:rPr>
        <w:t>PABs</w:t>
      </w:r>
      <w:proofErr w:type="spellEnd"/>
      <w:r w:rsidRPr="00E5004E">
        <w:rPr>
          <w:iCs/>
          <w:sz w:val="18"/>
          <w:szCs w:val="18"/>
          <w:lang w:eastAsia="en-US"/>
        </w:rPr>
        <w:t xml:space="preserve"> are </w:t>
      </w:r>
      <w:proofErr w:type="spellStart"/>
      <w:r w:rsidRPr="00E5004E">
        <w:rPr>
          <w:iCs/>
          <w:sz w:val="18"/>
          <w:szCs w:val="18"/>
          <w:lang w:eastAsia="en-US"/>
        </w:rPr>
        <w:t>used</w:t>
      </w:r>
      <w:proofErr w:type="spellEnd"/>
      <w:r w:rsidRPr="00E5004E">
        <w:rPr>
          <w:iCs/>
          <w:sz w:val="18"/>
          <w:szCs w:val="18"/>
          <w:lang w:eastAsia="en-US"/>
        </w:rPr>
        <w:t xml:space="preserve"> by </w:t>
      </w:r>
      <w:proofErr w:type="spellStart"/>
      <w:r w:rsidRPr="00E5004E">
        <w:rPr>
          <w:iCs/>
          <w:sz w:val="18"/>
          <w:szCs w:val="18"/>
          <w:lang w:eastAsia="en-US"/>
        </w:rPr>
        <w:t>several</w:t>
      </w:r>
      <w:proofErr w:type="spellEnd"/>
      <w:r w:rsidRPr="00E5004E">
        <w:rPr>
          <w:iCs/>
          <w:sz w:val="18"/>
          <w:szCs w:val="18"/>
          <w:lang w:eastAsia="en-US"/>
        </w:rPr>
        <w:t xml:space="preserve"> </w:t>
      </w:r>
      <w:proofErr w:type="spellStart"/>
      <w:r w:rsidRPr="00E5004E">
        <w:rPr>
          <w:iCs/>
          <w:sz w:val="18"/>
          <w:szCs w:val="18"/>
          <w:lang w:eastAsia="en-US"/>
        </w:rPr>
        <w:t>preeminent</w:t>
      </w:r>
      <w:proofErr w:type="spellEnd"/>
      <w:r w:rsidRPr="00E5004E">
        <w:rPr>
          <w:iCs/>
          <w:sz w:val="18"/>
          <w:szCs w:val="18"/>
          <w:lang w:eastAsia="en-US"/>
        </w:rPr>
        <w:t xml:space="preserve"> </w:t>
      </w:r>
      <w:proofErr w:type="spellStart"/>
      <w:r w:rsidRPr="00E5004E">
        <w:rPr>
          <w:iCs/>
          <w:sz w:val="18"/>
          <w:szCs w:val="18"/>
          <w:lang w:eastAsia="en-US"/>
        </w:rPr>
        <w:t>asset</w:t>
      </w:r>
      <w:proofErr w:type="spellEnd"/>
      <w:r w:rsidRPr="00E5004E">
        <w:rPr>
          <w:iCs/>
          <w:sz w:val="18"/>
          <w:szCs w:val="18"/>
          <w:lang w:eastAsia="en-US"/>
        </w:rPr>
        <w:t xml:space="preserve"> </w:t>
      </w:r>
      <w:proofErr w:type="spellStart"/>
      <w:r w:rsidRPr="00E5004E">
        <w:rPr>
          <w:iCs/>
          <w:sz w:val="18"/>
          <w:szCs w:val="18"/>
          <w:lang w:eastAsia="en-US"/>
        </w:rPr>
        <w:t>managers</w:t>
      </w:r>
      <w:proofErr w:type="spellEnd"/>
      <w:r w:rsidRPr="00E5004E">
        <w:rPr>
          <w:iCs/>
          <w:sz w:val="18"/>
          <w:szCs w:val="18"/>
          <w:lang w:eastAsia="en-US"/>
        </w:rPr>
        <w:t xml:space="preserve">, </w:t>
      </w:r>
      <w:proofErr w:type="spellStart"/>
      <w:r w:rsidRPr="00E5004E">
        <w:rPr>
          <w:iCs/>
          <w:sz w:val="18"/>
          <w:szCs w:val="18"/>
          <w:lang w:eastAsia="en-US"/>
        </w:rPr>
        <w:t>including</w:t>
      </w:r>
      <w:proofErr w:type="spellEnd"/>
      <w:r w:rsidRPr="00E5004E">
        <w:rPr>
          <w:iCs/>
          <w:sz w:val="18"/>
          <w:szCs w:val="18"/>
          <w:lang w:eastAsia="en-US"/>
        </w:rPr>
        <w:t xml:space="preserve"> </w:t>
      </w:r>
      <w:proofErr w:type="spellStart"/>
      <w:r w:rsidRPr="00E5004E">
        <w:rPr>
          <w:iCs/>
          <w:sz w:val="18"/>
          <w:szCs w:val="18"/>
          <w:lang w:eastAsia="en-US"/>
        </w:rPr>
        <w:t>Fidelity</w:t>
      </w:r>
      <w:proofErr w:type="spellEnd"/>
      <w:r w:rsidRPr="00E5004E">
        <w:rPr>
          <w:iCs/>
          <w:sz w:val="18"/>
          <w:szCs w:val="18"/>
          <w:lang w:eastAsia="en-US"/>
        </w:rPr>
        <w:t>.</w:t>
      </w:r>
    </w:p>
    <w:p w14:paraId="0FA0E85F" w14:textId="77777777" w:rsidR="005545A5" w:rsidRPr="00E5004E" w:rsidRDefault="005545A5" w:rsidP="005545A5">
      <w:pPr>
        <w:snapToGrid w:val="0"/>
        <w:spacing w:after="200" w:line="276" w:lineRule="auto"/>
        <w:ind w:right="-641"/>
        <w:rPr>
          <w:iCs/>
          <w:sz w:val="18"/>
          <w:szCs w:val="18"/>
          <w:lang w:eastAsia="en-US"/>
        </w:rPr>
      </w:pP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aims</w:t>
      </w:r>
      <w:proofErr w:type="spellEnd"/>
      <w:r w:rsidRPr="00E5004E">
        <w:rPr>
          <w:iCs/>
          <w:sz w:val="18"/>
          <w:szCs w:val="18"/>
          <w:lang w:eastAsia="en-US"/>
        </w:rPr>
        <w:t xml:space="preserve">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Solactive</w:t>
      </w:r>
      <w:proofErr w:type="spellEnd"/>
      <w:r w:rsidRPr="00E5004E">
        <w:rPr>
          <w:iCs/>
          <w:sz w:val="18"/>
          <w:szCs w:val="18"/>
          <w:lang w:eastAsia="en-US"/>
        </w:rPr>
        <w:t xml:space="preserve"> Paris-</w:t>
      </w:r>
      <w:proofErr w:type="spellStart"/>
      <w:r w:rsidRPr="00E5004E">
        <w:rPr>
          <w:iCs/>
          <w:sz w:val="18"/>
          <w:szCs w:val="18"/>
          <w:lang w:eastAsia="en-US"/>
        </w:rPr>
        <w:t>Aligned</w:t>
      </w:r>
      <w:proofErr w:type="spellEnd"/>
      <w:r w:rsidRPr="00E5004E">
        <w:rPr>
          <w:iCs/>
          <w:sz w:val="18"/>
          <w:szCs w:val="18"/>
          <w:lang w:eastAsia="en-US"/>
        </w:rPr>
        <w:t xml:space="preserve"> </w:t>
      </w:r>
      <w:proofErr w:type="spellStart"/>
      <w:r w:rsidRPr="00E5004E">
        <w:rPr>
          <w:iCs/>
          <w:sz w:val="18"/>
          <w:szCs w:val="18"/>
          <w:lang w:eastAsia="en-US"/>
        </w:rPr>
        <w:t>indices</w:t>
      </w:r>
      <w:proofErr w:type="spellEnd"/>
      <w:r w:rsidRPr="00E5004E">
        <w:rPr>
          <w:iCs/>
          <w:sz w:val="18"/>
          <w:szCs w:val="18"/>
          <w:lang w:eastAsia="en-US"/>
        </w:rPr>
        <w:t xml:space="preserve"> are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same</w:t>
      </w:r>
      <w:proofErr w:type="spellEnd"/>
      <w:r w:rsidRPr="00E5004E">
        <w:rPr>
          <w:iCs/>
          <w:sz w:val="18"/>
          <w:szCs w:val="18"/>
          <w:lang w:eastAsia="en-US"/>
        </w:rPr>
        <w:t xml:space="preserve">. </w:t>
      </w:r>
      <w:proofErr w:type="spellStart"/>
      <w:r w:rsidRPr="00E5004E">
        <w:rPr>
          <w:iCs/>
          <w:sz w:val="18"/>
          <w:szCs w:val="18"/>
          <w:lang w:eastAsia="en-US"/>
        </w:rPr>
        <w:t>Their</w:t>
      </w:r>
      <w:proofErr w:type="spellEnd"/>
      <w:r w:rsidRPr="00E5004E">
        <w:rPr>
          <w:iCs/>
          <w:sz w:val="18"/>
          <w:szCs w:val="18"/>
          <w:lang w:eastAsia="en-US"/>
        </w:rPr>
        <w:t xml:space="preserve"> </w:t>
      </w:r>
      <w:proofErr w:type="spellStart"/>
      <w:r w:rsidRPr="00E5004E">
        <w:rPr>
          <w:iCs/>
          <w:sz w:val="18"/>
          <w:szCs w:val="18"/>
          <w:lang w:eastAsia="en-US"/>
        </w:rPr>
        <w:t>differences</w:t>
      </w:r>
      <w:proofErr w:type="spellEnd"/>
      <w:r w:rsidRPr="00E5004E">
        <w:rPr>
          <w:iCs/>
          <w:sz w:val="18"/>
          <w:szCs w:val="18"/>
          <w:lang w:eastAsia="en-US"/>
        </w:rPr>
        <w:t xml:space="preserve"> are </w:t>
      </w:r>
      <w:proofErr w:type="spellStart"/>
      <w:r w:rsidRPr="00E5004E">
        <w:rPr>
          <w:iCs/>
          <w:sz w:val="18"/>
          <w:szCs w:val="18"/>
          <w:lang w:eastAsia="en-US"/>
        </w:rPr>
        <w:t>that</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USD </w:t>
      </w:r>
      <w:proofErr w:type="spellStart"/>
      <w:r w:rsidRPr="00E5004E">
        <w:rPr>
          <w:iCs/>
          <w:sz w:val="18"/>
          <w:szCs w:val="18"/>
          <w:lang w:eastAsia="en-US"/>
        </w:rPr>
        <w:t>iteration</w:t>
      </w:r>
      <w:proofErr w:type="spellEnd"/>
      <w:r w:rsidRPr="00E5004E">
        <w:rPr>
          <w:iCs/>
          <w:sz w:val="18"/>
          <w:szCs w:val="18"/>
          <w:lang w:eastAsia="en-US"/>
        </w:rPr>
        <w:t xml:space="preserve"> </w:t>
      </w:r>
      <w:proofErr w:type="spellStart"/>
      <w:r w:rsidRPr="00E5004E">
        <w:rPr>
          <w:iCs/>
          <w:sz w:val="18"/>
          <w:szCs w:val="18"/>
          <w:lang w:eastAsia="en-US"/>
        </w:rPr>
        <w:t>is</w:t>
      </w:r>
      <w:proofErr w:type="spellEnd"/>
      <w:r w:rsidRPr="00E5004E">
        <w:rPr>
          <w:iCs/>
          <w:sz w:val="18"/>
          <w:szCs w:val="18"/>
          <w:lang w:eastAsia="en-US"/>
        </w:rPr>
        <w:t xml:space="preserve"> </w:t>
      </w:r>
      <w:proofErr w:type="spellStart"/>
      <w:r w:rsidRPr="00E5004E">
        <w:rPr>
          <w:iCs/>
          <w:sz w:val="18"/>
          <w:szCs w:val="18"/>
          <w:lang w:eastAsia="en-US"/>
        </w:rPr>
        <w:t>focused</w:t>
      </w:r>
      <w:proofErr w:type="spellEnd"/>
      <w:r w:rsidRPr="00E5004E">
        <w:rPr>
          <w:iCs/>
          <w:sz w:val="18"/>
          <w:szCs w:val="18"/>
          <w:lang w:eastAsia="en-US"/>
        </w:rPr>
        <w:t xml:space="preserve"> on USD </w:t>
      </w:r>
      <w:proofErr w:type="spellStart"/>
      <w:r w:rsidRPr="00E5004E">
        <w:rPr>
          <w:iCs/>
          <w:sz w:val="18"/>
          <w:szCs w:val="18"/>
          <w:lang w:eastAsia="en-US"/>
        </w:rPr>
        <w:t>denominated</w:t>
      </w:r>
      <w:proofErr w:type="spellEnd"/>
      <w:r w:rsidRPr="00E5004E">
        <w:rPr>
          <w:iCs/>
          <w:sz w:val="18"/>
          <w:szCs w:val="18"/>
          <w:lang w:eastAsia="en-US"/>
        </w:rPr>
        <w:t xml:space="preserve"> </w:t>
      </w:r>
      <w:proofErr w:type="spellStart"/>
      <w:r w:rsidRPr="00E5004E">
        <w:rPr>
          <w:iCs/>
          <w:sz w:val="18"/>
          <w:szCs w:val="18"/>
          <w:lang w:eastAsia="en-US"/>
        </w:rPr>
        <w:t>securities</w:t>
      </w:r>
      <w:proofErr w:type="spellEnd"/>
      <w:r w:rsidRPr="00E5004E">
        <w:rPr>
          <w:iCs/>
          <w:sz w:val="18"/>
          <w:szCs w:val="18"/>
          <w:lang w:eastAsia="en-US"/>
        </w:rPr>
        <w:t xml:space="preserve"> and </w:t>
      </w:r>
      <w:proofErr w:type="spellStart"/>
      <w:r w:rsidRPr="00E5004E">
        <w:rPr>
          <w:iCs/>
          <w:sz w:val="18"/>
          <w:szCs w:val="18"/>
          <w:lang w:eastAsia="en-US"/>
        </w:rPr>
        <w:t>the</w:t>
      </w:r>
      <w:proofErr w:type="spellEnd"/>
      <w:r w:rsidRPr="00E5004E">
        <w:rPr>
          <w:iCs/>
          <w:sz w:val="18"/>
          <w:szCs w:val="18"/>
          <w:lang w:eastAsia="en-US"/>
        </w:rPr>
        <w:t xml:space="preserve"> EUR </w:t>
      </w:r>
      <w:proofErr w:type="spellStart"/>
      <w:r w:rsidRPr="00E5004E">
        <w:rPr>
          <w:iCs/>
          <w:sz w:val="18"/>
          <w:szCs w:val="18"/>
          <w:lang w:eastAsia="en-US"/>
        </w:rPr>
        <w:t>version</w:t>
      </w:r>
      <w:proofErr w:type="spellEnd"/>
      <w:r w:rsidRPr="00E5004E">
        <w:rPr>
          <w:iCs/>
          <w:sz w:val="18"/>
          <w:szCs w:val="18"/>
          <w:lang w:eastAsia="en-US"/>
        </w:rPr>
        <w:t xml:space="preserve"> </w:t>
      </w:r>
      <w:proofErr w:type="spellStart"/>
      <w:r w:rsidRPr="00E5004E">
        <w:rPr>
          <w:iCs/>
          <w:sz w:val="18"/>
          <w:szCs w:val="18"/>
          <w:lang w:eastAsia="en-US"/>
        </w:rPr>
        <w:t>is</w:t>
      </w:r>
      <w:proofErr w:type="spellEnd"/>
      <w:r w:rsidRPr="00E5004E">
        <w:rPr>
          <w:iCs/>
          <w:sz w:val="18"/>
          <w:szCs w:val="18"/>
          <w:lang w:eastAsia="en-US"/>
        </w:rPr>
        <w:t xml:space="preserve"> </w:t>
      </w:r>
      <w:proofErr w:type="spellStart"/>
      <w:r w:rsidRPr="00E5004E">
        <w:rPr>
          <w:iCs/>
          <w:sz w:val="18"/>
          <w:szCs w:val="18"/>
          <w:lang w:eastAsia="en-US"/>
        </w:rPr>
        <w:t>focused</w:t>
      </w:r>
      <w:proofErr w:type="spellEnd"/>
      <w:r w:rsidRPr="00E5004E">
        <w:rPr>
          <w:iCs/>
          <w:sz w:val="18"/>
          <w:szCs w:val="18"/>
          <w:lang w:eastAsia="en-US"/>
        </w:rPr>
        <w:t xml:space="preserve"> on EUR </w:t>
      </w:r>
      <w:proofErr w:type="spellStart"/>
      <w:r w:rsidRPr="00E5004E">
        <w:rPr>
          <w:iCs/>
          <w:sz w:val="18"/>
          <w:szCs w:val="18"/>
          <w:lang w:eastAsia="en-US"/>
        </w:rPr>
        <w:t>denominated</w:t>
      </w:r>
      <w:proofErr w:type="spellEnd"/>
      <w:r w:rsidRPr="00E5004E">
        <w:rPr>
          <w:iCs/>
          <w:sz w:val="18"/>
          <w:szCs w:val="18"/>
          <w:lang w:eastAsia="en-US"/>
        </w:rPr>
        <w:t xml:space="preserve"> </w:t>
      </w:r>
      <w:proofErr w:type="spellStart"/>
      <w:r w:rsidRPr="00E5004E">
        <w:rPr>
          <w:iCs/>
          <w:sz w:val="18"/>
          <w:szCs w:val="18"/>
          <w:lang w:eastAsia="en-US"/>
        </w:rPr>
        <w:t>securities</w:t>
      </w:r>
      <w:proofErr w:type="spellEnd"/>
      <w:r w:rsidRPr="00E5004E">
        <w:rPr>
          <w:iCs/>
          <w:sz w:val="18"/>
          <w:szCs w:val="18"/>
          <w:lang w:eastAsia="en-US"/>
        </w:rPr>
        <w:t xml:space="preserve">. </w:t>
      </w:r>
    </w:p>
    <w:p w14:paraId="2AFF3451" w14:textId="77777777" w:rsidR="005545A5" w:rsidRPr="00E5004E" w:rsidRDefault="005545A5" w:rsidP="005545A5">
      <w:pPr>
        <w:snapToGrid w:val="0"/>
        <w:spacing w:after="200" w:line="276" w:lineRule="auto"/>
        <w:ind w:right="-641"/>
        <w:rPr>
          <w:iCs/>
          <w:sz w:val="18"/>
          <w:szCs w:val="18"/>
          <w:lang w:eastAsia="en-US"/>
        </w:rPr>
      </w:pP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aim</w:t>
      </w:r>
      <w:proofErr w:type="spellEnd"/>
      <w:r w:rsidRPr="00E5004E">
        <w:rPr>
          <w:iCs/>
          <w:sz w:val="18"/>
          <w:szCs w:val="18"/>
          <w:lang w:eastAsia="en-US"/>
        </w:rPr>
        <w:t xml:space="preserve">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indices</w:t>
      </w:r>
      <w:proofErr w:type="spellEnd"/>
      <w:r w:rsidRPr="00E5004E">
        <w:rPr>
          <w:iCs/>
          <w:sz w:val="18"/>
          <w:szCs w:val="18"/>
          <w:lang w:eastAsia="en-US"/>
        </w:rPr>
        <w:t xml:space="preserve"> </w:t>
      </w:r>
      <w:proofErr w:type="spellStart"/>
      <w:r w:rsidRPr="00E5004E">
        <w:rPr>
          <w:iCs/>
          <w:sz w:val="18"/>
          <w:szCs w:val="18"/>
          <w:lang w:eastAsia="en-US"/>
        </w:rPr>
        <w:t>is</w:t>
      </w:r>
      <w:proofErr w:type="spellEnd"/>
      <w:r w:rsidRPr="00E5004E">
        <w:rPr>
          <w:iCs/>
          <w:sz w:val="18"/>
          <w:szCs w:val="18"/>
          <w:lang w:eastAsia="en-US"/>
        </w:rPr>
        <w:t xml:space="preserve"> to </w:t>
      </w:r>
      <w:r w:rsidRPr="00E5004E">
        <w:rPr>
          <w:rFonts w:eastAsia="Arial" w:cs="Times New Roman"/>
          <w:sz w:val="18"/>
          <w:szCs w:val="18"/>
          <w:lang w:eastAsia="en-US"/>
        </w:rPr>
        <w:t xml:space="preserve">track </w:t>
      </w:r>
      <w:proofErr w:type="spellStart"/>
      <w:r w:rsidRPr="00E5004E">
        <w:rPr>
          <w:rFonts w:eastAsia="Arial" w:cs="Times New Roman"/>
          <w:sz w:val="18"/>
          <w:szCs w:val="18"/>
          <w:lang w:eastAsia="en-US"/>
        </w:rPr>
        <w:t>the</w:t>
      </w:r>
      <w:proofErr w:type="spellEnd"/>
      <w:r w:rsidRPr="00E5004E">
        <w:rPr>
          <w:rFonts w:eastAsia="Arial" w:cs="Times New Roman"/>
          <w:sz w:val="18"/>
          <w:szCs w:val="18"/>
          <w:lang w:eastAsia="en-US"/>
        </w:rPr>
        <w:t xml:space="preserve"> performance </w:t>
      </w:r>
      <w:proofErr w:type="spellStart"/>
      <w:r w:rsidRPr="00E5004E">
        <w:rPr>
          <w:rFonts w:eastAsia="Arial" w:cs="Times New Roman"/>
          <w:sz w:val="18"/>
          <w:szCs w:val="18"/>
          <w:lang w:eastAsia="en-US"/>
        </w:rPr>
        <w:t>of</w:t>
      </w:r>
      <w:proofErr w:type="spellEnd"/>
      <w:r w:rsidRPr="00E5004E">
        <w:rPr>
          <w:rFonts w:eastAsia="Arial" w:cs="Times New Roman"/>
          <w:sz w:val="18"/>
          <w:szCs w:val="18"/>
          <w:lang w:eastAsia="en-US"/>
        </w:rPr>
        <w:t xml:space="preserve"> </w:t>
      </w:r>
      <w:proofErr w:type="spellStart"/>
      <w:r w:rsidRPr="00E5004E">
        <w:rPr>
          <w:rFonts w:eastAsia="Arial" w:cs="Times New Roman"/>
          <w:sz w:val="18"/>
          <w:szCs w:val="18"/>
          <w:lang w:eastAsia="en-US"/>
        </w:rPr>
        <w:t>corporate</w:t>
      </w:r>
      <w:proofErr w:type="spellEnd"/>
      <w:r w:rsidRPr="00E5004E">
        <w:rPr>
          <w:rFonts w:eastAsia="Arial" w:cs="Times New Roman"/>
          <w:sz w:val="18"/>
          <w:szCs w:val="18"/>
          <w:lang w:eastAsia="en-US"/>
        </w:rPr>
        <w:t xml:space="preserve"> </w:t>
      </w:r>
      <w:proofErr w:type="spellStart"/>
      <w:r w:rsidRPr="00E5004E">
        <w:rPr>
          <w:rFonts w:eastAsia="Arial" w:cs="Times New Roman"/>
          <w:sz w:val="18"/>
          <w:szCs w:val="18"/>
          <w:lang w:eastAsia="en-US"/>
        </w:rPr>
        <w:t>bonds</w:t>
      </w:r>
      <w:proofErr w:type="spellEnd"/>
      <w:r w:rsidRPr="00E5004E">
        <w:rPr>
          <w:rFonts w:eastAsia="Arial" w:cs="Times New Roman"/>
          <w:sz w:val="18"/>
          <w:szCs w:val="18"/>
          <w:lang w:eastAsia="en-US"/>
        </w:rPr>
        <w:t xml:space="preserve"> </w:t>
      </w:r>
      <w:proofErr w:type="spellStart"/>
      <w:r w:rsidRPr="00E5004E">
        <w:rPr>
          <w:rFonts w:eastAsia="Arial" w:cs="Times New Roman"/>
          <w:sz w:val="18"/>
          <w:szCs w:val="18"/>
          <w:lang w:eastAsia="en-US"/>
        </w:rPr>
        <w:t>denominated</w:t>
      </w:r>
      <w:proofErr w:type="spellEnd"/>
      <w:r w:rsidRPr="00E5004E">
        <w:rPr>
          <w:rFonts w:eastAsia="Arial" w:cs="Times New Roman"/>
          <w:sz w:val="18"/>
          <w:szCs w:val="18"/>
          <w:lang w:eastAsia="en-US"/>
        </w:rPr>
        <w:t xml:space="preserve"> in EUR and USD </w:t>
      </w:r>
      <w:proofErr w:type="spellStart"/>
      <w:r w:rsidRPr="00E5004E">
        <w:rPr>
          <w:rFonts w:eastAsia="Arial" w:cs="Times New Roman"/>
          <w:sz w:val="18"/>
          <w:szCs w:val="18"/>
          <w:lang w:eastAsia="en-US"/>
        </w:rPr>
        <w:t>respectively</w:t>
      </w:r>
      <w:proofErr w:type="spellEnd"/>
      <w:r w:rsidRPr="00E5004E">
        <w:rPr>
          <w:rFonts w:eastAsia="Arial" w:cs="Times New Roman"/>
          <w:sz w:val="18"/>
          <w:szCs w:val="18"/>
          <w:lang w:eastAsia="en-US"/>
        </w:rPr>
        <w:t>, and</w:t>
      </w:r>
      <w:r w:rsidRPr="00E5004E">
        <w:rPr>
          <w:iCs/>
          <w:sz w:val="18"/>
          <w:szCs w:val="18"/>
          <w:lang w:eastAsia="en-US"/>
        </w:rPr>
        <w:t xml:space="preserve"> </w:t>
      </w:r>
      <w:proofErr w:type="spellStart"/>
      <w:r w:rsidRPr="00E5004E">
        <w:rPr>
          <w:iCs/>
          <w:sz w:val="18"/>
          <w:szCs w:val="18"/>
          <w:lang w:eastAsia="en-US"/>
        </w:rPr>
        <w:t>align</w:t>
      </w:r>
      <w:proofErr w:type="spellEnd"/>
      <w:r w:rsidRPr="00E5004E">
        <w:rPr>
          <w:iCs/>
          <w:sz w:val="18"/>
          <w:szCs w:val="18"/>
          <w:lang w:eastAsia="en-US"/>
        </w:rPr>
        <w:t xml:space="preserve"> </w:t>
      </w:r>
      <w:proofErr w:type="spellStart"/>
      <w:r w:rsidRPr="00E5004E">
        <w:rPr>
          <w:iCs/>
          <w:sz w:val="18"/>
          <w:szCs w:val="18"/>
          <w:lang w:eastAsia="en-US"/>
        </w:rPr>
        <w:t>with</w:t>
      </w:r>
      <w:proofErr w:type="spellEnd"/>
      <w:r w:rsidRPr="00E5004E">
        <w:rPr>
          <w:iCs/>
          <w:sz w:val="18"/>
          <w:szCs w:val="18"/>
          <w:lang w:eastAsia="en-US"/>
        </w:rPr>
        <w:t xml:space="preserve"> a </w:t>
      </w:r>
      <w:proofErr w:type="spellStart"/>
      <w:r w:rsidRPr="00E5004E">
        <w:rPr>
          <w:iCs/>
          <w:sz w:val="18"/>
          <w:szCs w:val="18"/>
          <w:lang w:eastAsia="en-US"/>
        </w:rPr>
        <w:t>self-decarbonization</w:t>
      </w:r>
      <w:proofErr w:type="spellEnd"/>
      <w:r w:rsidRPr="00E5004E">
        <w:rPr>
          <w:iCs/>
          <w:sz w:val="18"/>
          <w:szCs w:val="18"/>
          <w:lang w:eastAsia="en-US"/>
        </w:rPr>
        <w:t xml:space="preserve"> </w:t>
      </w:r>
      <w:proofErr w:type="spellStart"/>
      <w:r w:rsidRPr="00E5004E">
        <w:rPr>
          <w:iCs/>
          <w:sz w:val="18"/>
          <w:szCs w:val="18"/>
          <w:lang w:eastAsia="en-US"/>
        </w:rPr>
        <w:t>trajectory</w:t>
      </w:r>
      <w:proofErr w:type="spellEnd"/>
      <w:r w:rsidRPr="00E5004E">
        <w:rPr>
          <w:iCs/>
          <w:sz w:val="18"/>
          <w:szCs w:val="18"/>
          <w:lang w:eastAsia="en-US"/>
        </w:rPr>
        <w:t xml:space="preserve">. They </w:t>
      </w:r>
      <w:proofErr w:type="spellStart"/>
      <w:r w:rsidRPr="00E5004E">
        <w:rPr>
          <w:iCs/>
          <w:sz w:val="18"/>
          <w:szCs w:val="18"/>
          <w:lang w:eastAsia="en-US"/>
        </w:rPr>
        <w:t>include</w:t>
      </w:r>
      <w:proofErr w:type="spellEnd"/>
      <w:r w:rsidRPr="00E5004E">
        <w:rPr>
          <w:iCs/>
          <w:sz w:val="18"/>
          <w:szCs w:val="18"/>
          <w:lang w:eastAsia="en-US"/>
        </w:rPr>
        <w:t xml:space="preserve"> a minimum </w:t>
      </w:r>
      <w:proofErr w:type="spellStart"/>
      <w:r w:rsidRPr="00E5004E">
        <w:rPr>
          <w:iCs/>
          <w:sz w:val="18"/>
          <w:szCs w:val="18"/>
          <w:lang w:eastAsia="en-US"/>
        </w:rPr>
        <w:t>reduction</w:t>
      </w:r>
      <w:proofErr w:type="spellEnd"/>
      <w:r w:rsidRPr="00E5004E">
        <w:rPr>
          <w:iCs/>
          <w:sz w:val="18"/>
          <w:szCs w:val="18"/>
          <w:lang w:eastAsia="en-US"/>
        </w:rPr>
        <w:t xml:space="preserve"> in </w:t>
      </w:r>
      <w:proofErr w:type="spellStart"/>
      <w:r w:rsidRPr="00E5004E">
        <w:rPr>
          <w:iCs/>
          <w:sz w:val="18"/>
          <w:szCs w:val="18"/>
          <w:lang w:eastAsia="en-US"/>
        </w:rPr>
        <w:t>weighted</w:t>
      </w:r>
      <w:proofErr w:type="spellEnd"/>
      <w:r w:rsidRPr="00E5004E">
        <w:rPr>
          <w:iCs/>
          <w:sz w:val="18"/>
          <w:szCs w:val="18"/>
          <w:lang w:eastAsia="en-US"/>
        </w:rPr>
        <w:t xml:space="preserve"> </w:t>
      </w:r>
      <w:proofErr w:type="spellStart"/>
      <w:r w:rsidRPr="00E5004E">
        <w:rPr>
          <w:iCs/>
          <w:sz w:val="18"/>
          <w:szCs w:val="18"/>
          <w:lang w:eastAsia="en-US"/>
        </w:rPr>
        <w:t>average</w:t>
      </w:r>
      <w:proofErr w:type="spellEnd"/>
      <w:r w:rsidRPr="00E5004E">
        <w:rPr>
          <w:iCs/>
          <w:sz w:val="18"/>
          <w:szCs w:val="18"/>
          <w:lang w:eastAsia="en-US"/>
        </w:rPr>
        <w:t xml:space="preserve"> </w:t>
      </w:r>
      <w:proofErr w:type="spellStart"/>
      <w:r w:rsidRPr="00E5004E">
        <w:rPr>
          <w:iCs/>
          <w:sz w:val="18"/>
          <w:szCs w:val="18"/>
          <w:lang w:eastAsia="en-US"/>
        </w:rPr>
        <w:t>carbon</w:t>
      </w:r>
      <w:proofErr w:type="spellEnd"/>
      <w:r w:rsidRPr="00E5004E">
        <w:rPr>
          <w:iCs/>
          <w:sz w:val="18"/>
          <w:szCs w:val="18"/>
          <w:lang w:eastAsia="en-US"/>
        </w:rPr>
        <w:t xml:space="preserve"> intensity* versus </w:t>
      </w:r>
      <w:proofErr w:type="spellStart"/>
      <w:r w:rsidRPr="00E5004E">
        <w:rPr>
          <w:iCs/>
          <w:sz w:val="18"/>
          <w:szCs w:val="18"/>
          <w:lang w:eastAsia="en-US"/>
        </w:rPr>
        <w:t>the</w:t>
      </w:r>
      <w:proofErr w:type="spellEnd"/>
      <w:r w:rsidRPr="00E5004E">
        <w:rPr>
          <w:iCs/>
          <w:sz w:val="18"/>
          <w:szCs w:val="18"/>
          <w:lang w:eastAsia="en-US"/>
        </w:rPr>
        <w:t xml:space="preserve"> index </w:t>
      </w:r>
      <w:proofErr w:type="spellStart"/>
      <w:r w:rsidRPr="00E5004E">
        <w:rPr>
          <w:iCs/>
          <w:sz w:val="18"/>
          <w:szCs w:val="18"/>
          <w:lang w:eastAsia="en-US"/>
        </w:rPr>
        <w:t>provider’s</w:t>
      </w:r>
      <w:proofErr w:type="spellEnd"/>
      <w:r w:rsidRPr="00E5004E">
        <w:rPr>
          <w:iCs/>
          <w:sz w:val="18"/>
          <w:szCs w:val="18"/>
          <w:lang w:eastAsia="en-US"/>
        </w:rPr>
        <w:t xml:space="preserve"> market cap </w:t>
      </w:r>
      <w:proofErr w:type="spellStart"/>
      <w:r w:rsidRPr="00E5004E">
        <w:rPr>
          <w:iCs/>
          <w:sz w:val="18"/>
          <w:szCs w:val="18"/>
          <w:lang w:eastAsia="en-US"/>
        </w:rPr>
        <w:t>weighted</w:t>
      </w:r>
      <w:proofErr w:type="spellEnd"/>
      <w:r w:rsidRPr="00E5004E">
        <w:rPr>
          <w:iCs/>
          <w:sz w:val="18"/>
          <w:szCs w:val="18"/>
          <w:lang w:eastAsia="en-US"/>
        </w:rPr>
        <w:t xml:space="preserve"> index.</w:t>
      </w:r>
    </w:p>
    <w:p w14:paraId="1B86DCEC" w14:textId="77777777" w:rsidR="005545A5" w:rsidRPr="00E5004E" w:rsidRDefault="005545A5" w:rsidP="005545A5">
      <w:pPr>
        <w:snapToGrid w:val="0"/>
        <w:spacing w:after="200" w:line="276" w:lineRule="auto"/>
        <w:ind w:right="-641"/>
        <w:rPr>
          <w:iCs/>
          <w:sz w:val="18"/>
          <w:szCs w:val="18"/>
          <w:lang w:eastAsia="en-US"/>
        </w:rPr>
      </w:pPr>
      <w:r w:rsidRPr="00E5004E">
        <w:rPr>
          <w:iCs/>
          <w:sz w:val="18"/>
          <w:szCs w:val="18"/>
          <w:lang w:eastAsia="en-US"/>
        </w:rPr>
        <w:t xml:space="preserve">At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launch</w:t>
      </w:r>
      <w:proofErr w:type="spellEnd"/>
      <w:r w:rsidRPr="00E5004E">
        <w:rPr>
          <w:iCs/>
          <w:sz w:val="18"/>
          <w:szCs w:val="18"/>
          <w:lang w:eastAsia="en-US"/>
        </w:rPr>
        <w:t xml:space="preserve">, gross </w:t>
      </w:r>
      <w:proofErr w:type="spellStart"/>
      <w:r w:rsidRPr="00E5004E">
        <w:rPr>
          <w:iCs/>
          <w:sz w:val="18"/>
          <w:szCs w:val="18"/>
          <w:lang w:eastAsia="en-US"/>
        </w:rPr>
        <w:t>greenhouse</w:t>
      </w:r>
      <w:proofErr w:type="spellEnd"/>
      <w:r w:rsidRPr="00E5004E">
        <w:rPr>
          <w:iCs/>
          <w:sz w:val="18"/>
          <w:szCs w:val="18"/>
          <w:lang w:eastAsia="en-US"/>
        </w:rPr>
        <w:t xml:space="preserve"> </w:t>
      </w:r>
      <w:proofErr w:type="spellStart"/>
      <w:r w:rsidRPr="00E5004E">
        <w:rPr>
          <w:iCs/>
          <w:sz w:val="18"/>
          <w:szCs w:val="18"/>
          <w:lang w:eastAsia="en-US"/>
        </w:rPr>
        <w:t>gas</w:t>
      </w:r>
      <w:proofErr w:type="spellEnd"/>
      <w:r w:rsidRPr="00E5004E">
        <w:rPr>
          <w:iCs/>
          <w:sz w:val="18"/>
          <w:szCs w:val="18"/>
          <w:lang w:eastAsia="en-US"/>
        </w:rPr>
        <w:t xml:space="preserve"> </w:t>
      </w:r>
      <w:proofErr w:type="spellStart"/>
      <w:r w:rsidRPr="00E5004E">
        <w:rPr>
          <w:iCs/>
          <w:sz w:val="18"/>
          <w:szCs w:val="18"/>
          <w:lang w:eastAsia="en-US"/>
        </w:rPr>
        <w:t>emissions</w:t>
      </w:r>
      <w:proofErr w:type="spellEnd"/>
      <w:r w:rsidRPr="00E5004E">
        <w:rPr>
          <w:iCs/>
          <w:sz w:val="18"/>
          <w:szCs w:val="18"/>
          <w:lang w:eastAsia="en-US"/>
        </w:rPr>
        <w:t xml:space="preserve"> as </w:t>
      </w:r>
      <w:proofErr w:type="spellStart"/>
      <w:r w:rsidRPr="00E5004E">
        <w:rPr>
          <w:iCs/>
          <w:sz w:val="18"/>
          <w:szCs w:val="18"/>
          <w:lang w:eastAsia="en-US"/>
        </w:rPr>
        <w:t>well</w:t>
      </w:r>
      <w:proofErr w:type="spellEnd"/>
      <w:r w:rsidRPr="00E5004E">
        <w:rPr>
          <w:iCs/>
          <w:sz w:val="18"/>
          <w:szCs w:val="18"/>
          <w:lang w:eastAsia="en-US"/>
        </w:rPr>
        <w:t xml:space="preserve"> as </w:t>
      </w:r>
      <w:proofErr w:type="spellStart"/>
      <w:r w:rsidRPr="00E5004E">
        <w:rPr>
          <w:iCs/>
          <w:sz w:val="18"/>
          <w:szCs w:val="18"/>
          <w:lang w:eastAsia="en-US"/>
        </w:rPr>
        <w:t>greenhouse</w:t>
      </w:r>
      <w:proofErr w:type="spellEnd"/>
      <w:r w:rsidRPr="00E5004E">
        <w:rPr>
          <w:iCs/>
          <w:sz w:val="18"/>
          <w:szCs w:val="18"/>
          <w:lang w:eastAsia="en-US"/>
        </w:rPr>
        <w:t xml:space="preserve"> </w:t>
      </w:r>
      <w:proofErr w:type="spellStart"/>
      <w:r w:rsidRPr="00E5004E">
        <w:rPr>
          <w:iCs/>
          <w:sz w:val="18"/>
          <w:szCs w:val="18"/>
          <w:lang w:eastAsia="en-US"/>
        </w:rPr>
        <w:t>gas</w:t>
      </w:r>
      <w:proofErr w:type="spellEnd"/>
      <w:r w:rsidRPr="00E5004E">
        <w:rPr>
          <w:iCs/>
          <w:sz w:val="18"/>
          <w:szCs w:val="18"/>
          <w:lang w:eastAsia="en-US"/>
        </w:rPr>
        <w:t xml:space="preserve"> intensity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index are </w:t>
      </w:r>
      <w:proofErr w:type="spellStart"/>
      <w:r w:rsidRPr="00E5004E">
        <w:rPr>
          <w:iCs/>
          <w:sz w:val="18"/>
          <w:szCs w:val="18"/>
          <w:lang w:eastAsia="en-US"/>
        </w:rPr>
        <w:t>reduced</w:t>
      </w:r>
      <w:proofErr w:type="spellEnd"/>
      <w:r w:rsidRPr="00E5004E">
        <w:rPr>
          <w:iCs/>
          <w:sz w:val="18"/>
          <w:szCs w:val="18"/>
          <w:lang w:eastAsia="en-US"/>
        </w:rPr>
        <w:t xml:space="preserve"> by a minimum </w:t>
      </w:r>
      <w:proofErr w:type="spellStart"/>
      <w:r w:rsidRPr="00E5004E">
        <w:rPr>
          <w:iCs/>
          <w:sz w:val="18"/>
          <w:szCs w:val="18"/>
          <w:lang w:eastAsia="en-US"/>
        </w:rPr>
        <w:t>of</w:t>
      </w:r>
      <w:proofErr w:type="spellEnd"/>
      <w:r w:rsidRPr="00E5004E">
        <w:rPr>
          <w:iCs/>
          <w:sz w:val="18"/>
          <w:szCs w:val="18"/>
          <w:lang w:eastAsia="en-US"/>
        </w:rPr>
        <w:t xml:space="preserve"> </w:t>
      </w:r>
      <w:proofErr w:type="gramStart"/>
      <w:r w:rsidRPr="00E5004E">
        <w:rPr>
          <w:iCs/>
          <w:sz w:val="18"/>
          <w:szCs w:val="18"/>
          <w:lang w:eastAsia="en-US"/>
        </w:rPr>
        <w:t>50%</w:t>
      </w:r>
      <w:proofErr w:type="gramEnd"/>
      <w:r w:rsidRPr="00E5004E">
        <w:rPr>
          <w:iCs/>
          <w:sz w:val="18"/>
          <w:szCs w:val="18"/>
          <w:lang w:eastAsia="en-US"/>
        </w:rPr>
        <w:t xml:space="preserve"> </w:t>
      </w:r>
      <w:proofErr w:type="spellStart"/>
      <w:r w:rsidRPr="00E5004E">
        <w:rPr>
          <w:iCs/>
          <w:sz w:val="18"/>
          <w:szCs w:val="18"/>
          <w:lang w:eastAsia="en-US"/>
        </w:rPr>
        <w:t>compared</w:t>
      </w:r>
      <w:proofErr w:type="spellEnd"/>
      <w:r w:rsidRPr="00E5004E">
        <w:rPr>
          <w:iCs/>
          <w:sz w:val="18"/>
          <w:szCs w:val="18"/>
          <w:lang w:eastAsia="en-US"/>
        </w:rPr>
        <w:t xml:space="preserve"> to </w:t>
      </w:r>
      <w:proofErr w:type="spellStart"/>
      <w:r w:rsidRPr="00E5004E">
        <w:rPr>
          <w:iCs/>
          <w:sz w:val="18"/>
          <w:szCs w:val="18"/>
          <w:lang w:eastAsia="en-US"/>
        </w:rPr>
        <w:t>the</w:t>
      </w:r>
      <w:proofErr w:type="spellEnd"/>
      <w:r w:rsidRPr="00E5004E">
        <w:rPr>
          <w:iCs/>
          <w:sz w:val="18"/>
          <w:szCs w:val="18"/>
          <w:lang w:eastAsia="en-US"/>
        </w:rPr>
        <w:t xml:space="preserve"> market cap </w:t>
      </w:r>
      <w:proofErr w:type="spellStart"/>
      <w:r w:rsidRPr="00E5004E">
        <w:rPr>
          <w:iCs/>
          <w:sz w:val="18"/>
          <w:szCs w:val="18"/>
          <w:lang w:eastAsia="en-US"/>
        </w:rPr>
        <w:t>weighted</w:t>
      </w:r>
      <w:proofErr w:type="spellEnd"/>
      <w:r w:rsidRPr="00E5004E">
        <w:rPr>
          <w:iCs/>
          <w:sz w:val="18"/>
          <w:szCs w:val="18"/>
          <w:lang w:eastAsia="en-US"/>
        </w:rPr>
        <w:t xml:space="preserve"> index. </w:t>
      </w:r>
      <w:proofErr w:type="spellStart"/>
      <w:r w:rsidRPr="00E5004E">
        <w:rPr>
          <w:iCs/>
          <w:sz w:val="18"/>
          <w:szCs w:val="18"/>
          <w:lang w:eastAsia="en-US"/>
        </w:rPr>
        <w:t>Throughout</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life</w:t>
      </w:r>
      <w:proofErr w:type="spellEnd"/>
      <w:r w:rsidRPr="00E5004E">
        <w:rPr>
          <w:iCs/>
          <w:sz w:val="18"/>
          <w:szCs w:val="18"/>
          <w:lang w:eastAsia="en-US"/>
        </w:rPr>
        <w:t xml:space="preserve">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index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carbon</w:t>
      </w:r>
      <w:proofErr w:type="spellEnd"/>
      <w:r w:rsidRPr="00E5004E">
        <w:rPr>
          <w:iCs/>
          <w:sz w:val="18"/>
          <w:szCs w:val="18"/>
          <w:lang w:eastAsia="en-US"/>
        </w:rPr>
        <w:t xml:space="preserve"> </w:t>
      </w:r>
      <w:proofErr w:type="spellStart"/>
      <w:r w:rsidRPr="00E5004E">
        <w:rPr>
          <w:iCs/>
          <w:sz w:val="18"/>
          <w:szCs w:val="18"/>
          <w:lang w:eastAsia="en-US"/>
        </w:rPr>
        <w:t>emissions</w:t>
      </w:r>
      <w:proofErr w:type="spellEnd"/>
      <w:r w:rsidRPr="00E5004E">
        <w:rPr>
          <w:iCs/>
          <w:sz w:val="18"/>
          <w:szCs w:val="18"/>
          <w:lang w:eastAsia="en-US"/>
        </w:rPr>
        <w:t xml:space="preserve"> as </w:t>
      </w:r>
      <w:proofErr w:type="spellStart"/>
      <w:r w:rsidRPr="00E5004E">
        <w:rPr>
          <w:iCs/>
          <w:sz w:val="18"/>
          <w:szCs w:val="18"/>
          <w:lang w:eastAsia="en-US"/>
        </w:rPr>
        <w:t>well</w:t>
      </w:r>
      <w:proofErr w:type="spellEnd"/>
      <w:r w:rsidRPr="00E5004E">
        <w:rPr>
          <w:iCs/>
          <w:sz w:val="18"/>
          <w:szCs w:val="18"/>
          <w:lang w:eastAsia="en-US"/>
        </w:rPr>
        <w:t xml:space="preserve"> as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carbon</w:t>
      </w:r>
      <w:proofErr w:type="spellEnd"/>
      <w:r w:rsidRPr="00E5004E">
        <w:rPr>
          <w:iCs/>
          <w:sz w:val="18"/>
          <w:szCs w:val="18"/>
          <w:lang w:eastAsia="en-US"/>
        </w:rPr>
        <w:t xml:space="preserve"> intensity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Index </w:t>
      </w:r>
      <w:proofErr w:type="spellStart"/>
      <w:r w:rsidRPr="00E5004E">
        <w:rPr>
          <w:iCs/>
          <w:sz w:val="18"/>
          <w:szCs w:val="18"/>
          <w:lang w:eastAsia="en-US"/>
        </w:rPr>
        <w:t>must</w:t>
      </w:r>
      <w:proofErr w:type="spellEnd"/>
      <w:r w:rsidRPr="00E5004E">
        <w:rPr>
          <w:iCs/>
          <w:sz w:val="18"/>
          <w:szCs w:val="18"/>
          <w:lang w:eastAsia="en-US"/>
        </w:rPr>
        <w:t xml:space="preserve"> </w:t>
      </w:r>
      <w:proofErr w:type="spellStart"/>
      <w:r w:rsidRPr="00E5004E">
        <w:rPr>
          <w:iCs/>
          <w:sz w:val="18"/>
          <w:szCs w:val="18"/>
          <w:lang w:eastAsia="en-US"/>
        </w:rPr>
        <w:t>always</w:t>
      </w:r>
      <w:proofErr w:type="spellEnd"/>
      <w:r w:rsidRPr="00E5004E">
        <w:rPr>
          <w:iCs/>
          <w:sz w:val="18"/>
          <w:szCs w:val="18"/>
          <w:lang w:eastAsia="en-US"/>
        </w:rPr>
        <w:t xml:space="preserve"> </w:t>
      </w:r>
      <w:proofErr w:type="spellStart"/>
      <w:r w:rsidRPr="00E5004E">
        <w:rPr>
          <w:iCs/>
          <w:sz w:val="18"/>
          <w:szCs w:val="18"/>
          <w:lang w:eastAsia="en-US"/>
        </w:rPr>
        <w:t>fulfil</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self-decarbonization</w:t>
      </w:r>
      <w:proofErr w:type="spellEnd"/>
      <w:r w:rsidRPr="00E5004E">
        <w:rPr>
          <w:iCs/>
          <w:sz w:val="18"/>
          <w:szCs w:val="18"/>
          <w:lang w:eastAsia="en-US"/>
        </w:rPr>
        <w:t xml:space="preserve"> </w:t>
      </w:r>
      <w:proofErr w:type="spellStart"/>
      <w:r w:rsidRPr="00E5004E">
        <w:rPr>
          <w:iCs/>
          <w:sz w:val="18"/>
          <w:szCs w:val="18"/>
          <w:lang w:eastAsia="en-US"/>
        </w:rPr>
        <w:t>trajectory</w:t>
      </w:r>
      <w:proofErr w:type="spellEnd"/>
      <w:r w:rsidRPr="00E5004E">
        <w:rPr>
          <w:iCs/>
          <w:sz w:val="18"/>
          <w:szCs w:val="18"/>
          <w:lang w:eastAsia="en-US"/>
        </w:rPr>
        <w:t xml:space="preserve"> </w:t>
      </w:r>
      <w:proofErr w:type="spellStart"/>
      <w:r w:rsidRPr="00E5004E">
        <w:rPr>
          <w:iCs/>
          <w:sz w:val="18"/>
          <w:szCs w:val="18"/>
          <w:lang w:eastAsia="en-US"/>
        </w:rPr>
        <w:t>against</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market cap </w:t>
      </w:r>
      <w:proofErr w:type="spellStart"/>
      <w:r w:rsidRPr="00E5004E">
        <w:rPr>
          <w:iCs/>
          <w:sz w:val="18"/>
          <w:szCs w:val="18"/>
          <w:lang w:eastAsia="en-US"/>
        </w:rPr>
        <w:t>weighted</w:t>
      </w:r>
      <w:proofErr w:type="spellEnd"/>
      <w:r w:rsidRPr="00E5004E">
        <w:rPr>
          <w:iCs/>
          <w:sz w:val="18"/>
          <w:szCs w:val="18"/>
          <w:lang w:eastAsia="en-US"/>
        </w:rPr>
        <w:t xml:space="preserve"> index. </w:t>
      </w:r>
    </w:p>
    <w:p w14:paraId="1FD606E1" w14:textId="77777777" w:rsidR="005545A5" w:rsidRPr="00E5004E" w:rsidRDefault="005545A5" w:rsidP="005545A5">
      <w:pPr>
        <w:snapToGrid w:val="0"/>
        <w:spacing w:after="200" w:line="276" w:lineRule="auto"/>
        <w:ind w:right="-641"/>
        <w:rPr>
          <w:iCs/>
          <w:sz w:val="18"/>
          <w:szCs w:val="18"/>
          <w:lang w:eastAsia="en-US"/>
        </w:rPr>
      </w:pP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self-decarbonization</w:t>
      </w:r>
      <w:proofErr w:type="spellEnd"/>
      <w:r w:rsidRPr="00E5004E">
        <w:rPr>
          <w:iCs/>
          <w:sz w:val="18"/>
          <w:szCs w:val="18"/>
          <w:lang w:eastAsia="en-US"/>
        </w:rPr>
        <w:t xml:space="preserve"> </w:t>
      </w:r>
      <w:proofErr w:type="spellStart"/>
      <w:r w:rsidRPr="00E5004E">
        <w:rPr>
          <w:iCs/>
          <w:sz w:val="18"/>
          <w:szCs w:val="18"/>
          <w:lang w:eastAsia="en-US"/>
        </w:rPr>
        <w:t>trajectory</w:t>
      </w:r>
      <w:proofErr w:type="spellEnd"/>
      <w:r w:rsidRPr="00E5004E">
        <w:rPr>
          <w:iCs/>
          <w:sz w:val="18"/>
          <w:szCs w:val="18"/>
          <w:lang w:eastAsia="en-US"/>
        </w:rPr>
        <w:t xml:space="preserve"> </w:t>
      </w:r>
      <w:proofErr w:type="spellStart"/>
      <w:r w:rsidRPr="00E5004E">
        <w:rPr>
          <w:iCs/>
          <w:sz w:val="18"/>
          <w:szCs w:val="18"/>
          <w:lang w:eastAsia="en-US"/>
        </w:rPr>
        <w:t>is</w:t>
      </w:r>
      <w:proofErr w:type="spellEnd"/>
      <w:r w:rsidRPr="00E5004E">
        <w:rPr>
          <w:iCs/>
          <w:sz w:val="18"/>
          <w:szCs w:val="18"/>
          <w:lang w:eastAsia="en-US"/>
        </w:rPr>
        <w:t xml:space="preserve"> </w:t>
      </w:r>
      <w:proofErr w:type="spellStart"/>
      <w:r w:rsidRPr="00E5004E">
        <w:rPr>
          <w:iCs/>
          <w:sz w:val="18"/>
          <w:szCs w:val="18"/>
          <w:lang w:eastAsia="en-US"/>
        </w:rPr>
        <w:t>at</w:t>
      </w:r>
      <w:proofErr w:type="spellEnd"/>
      <w:r w:rsidRPr="00E5004E">
        <w:rPr>
          <w:iCs/>
          <w:sz w:val="18"/>
          <w:szCs w:val="18"/>
          <w:lang w:eastAsia="en-US"/>
        </w:rPr>
        <w:t xml:space="preserve"> least </w:t>
      </w:r>
      <w:proofErr w:type="gramStart"/>
      <w:r w:rsidRPr="00E5004E">
        <w:rPr>
          <w:iCs/>
          <w:sz w:val="18"/>
          <w:szCs w:val="18"/>
          <w:lang w:eastAsia="en-US"/>
        </w:rPr>
        <w:t>7%</w:t>
      </w:r>
      <w:proofErr w:type="gramEnd"/>
      <w:r w:rsidRPr="00E5004E">
        <w:rPr>
          <w:iCs/>
          <w:sz w:val="18"/>
          <w:szCs w:val="18"/>
          <w:lang w:eastAsia="en-US"/>
        </w:rPr>
        <w:t xml:space="preserve"> </w:t>
      </w:r>
      <w:proofErr w:type="spellStart"/>
      <w:r w:rsidRPr="00E5004E">
        <w:rPr>
          <w:iCs/>
          <w:sz w:val="18"/>
          <w:szCs w:val="18"/>
          <w:lang w:eastAsia="en-US"/>
        </w:rPr>
        <w:t>annually</w:t>
      </w:r>
      <w:proofErr w:type="spellEnd"/>
      <w:r w:rsidRPr="00E5004E">
        <w:rPr>
          <w:iCs/>
          <w:sz w:val="18"/>
          <w:szCs w:val="18"/>
          <w:lang w:eastAsia="en-US"/>
        </w:rPr>
        <w:t xml:space="preserve">. </w:t>
      </w:r>
      <w:proofErr w:type="spellStart"/>
      <w:r w:rsidRPr="00E5004E">
        <w:rPr>
          <w:iCs/>
          <w:sz w:val="18"/>
          <w:szCs w:val="18"/>
          <w:lang w:eastAsia="en-US"/>
        </w:rPr>
        <w:t>This</w:t>
      </w:r>
      <w:proofErr w:type="spellEnd"/>
      <w:r w:rsidRPr="00E5004E">
        <w:rPr>
          <w:iCs/>
          <w:sz w:val="18"/>
          <w:szCs w:val="18"/>
          <w:lang w:eastAsia="en-US"/>
        </w:rPr>
        <w:t xml:space="preserve"> </w:t>
      </w:r>
      <w:proofErr w:type="spellStart"/>
      <w:r w:rsidRPr="00E5004E">
        <w:rPr>
          <w:iCs/>
          <w:sz w:val="18"/>
          <w:szCs w:val="18"/>
          <w:lang w:eastAsia="en-US"/>
        </w:rPr>
        <w:t>is</w:t>
      </w:r>
      <w:proofErr w:type="spellEnd"/>
      <w:r w:rsidRPr="00E5004E">
        <w:rPr>
          <w:iCs/>
          <w:sz w:val="18"/>
          <w:szCs w:val="18"/>
          <w:lang w:eastAsia="en-US"/>
        </w:rPr>
        <w:t xml:space="preserve"> </w:t>
      </w:r>
      <w:proofErr w:type="spellStart"/>
      <w:r w:rsidRPr="00E5004E">
        <w:rPr>
          <w:iCs/>
          <w:sz w:val="18"/>
          <w:szCs w:val="18"/>
          <w:lang w:eastAsia="en-US"/>
        </w:rPr>
        <w:t>consistent</w:t>
      </w:r>
      <w:proofErr w:type="spellEnd"/>
      <w:r w:rsidRPr="00E5004E">
        <w:rPr>
          <w:iCs/>
          <w:sz w:val="18"/>
          <w:szCs w:val="18"/>
          <w:lang w:eastAsia="en-US"/>
        </w:rPr>
        <w:t xml:space="preserve"> </w:t>
      </w:r>
      <w:proofErr w:type="spellStart"/>
      <w:r w:rsidRPr="00E5004E">
        <w:rPr>
          <w:iCs/>
          <w:sz w:val="18"/>
          <w:szCs w:val="18"/>
          <w:lang w:eastAsia="en-US"/>
        </w:rPr>
        <w:t>with</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decarbonization</w:t>
      </w:r>
      <w:proofErr w:type="spellEnd"/>
      <w:r w:rsidRPr="00E5004E">
        <w:rPr>
          <w:iCs/>
          <w:sz w:val="18"/>
          <w:szCs w:val="18"/>
          <w:lang w:eastAsia="en-US"/>
        </w:rPr>
        <w:t xml:space="preserve"> </w:t>
      </w:r>
      <w:proofErr w:type="spellStart"/>
      <w:r w:rsidRPr="00E5004E">
        <w:rPr>
          <w:iCs/>
          <w:sz w:val="18"/>
          <w:szCs w:val="18"/>
          <w:lang w:eastAsia="en-US"/>
        </w:rPr>
        <w:t>trajectory</w:t>
      </w:r>
      <w:proofErr w:type="spellEnd"/>
      <w:r w:rsidRPr="00E5004E">
        <w:rPr>
          <w:iCs/>
          <w:sz w:val="18"/>
          <w:szCs w:val="18"/>
          <w:lang w:eastAsia="en-US"/>
        </w:rPr>
        <w:t xml:space="preserve"> </w:t>
      </w:r>
      <w:proofErr w:type="spellStart"/>
      <w:r w:rsidRPr="00E5004E">
        <w:rPr>
          <w:iCs/>
          <w:sz w:val="18"/>
          <w:szCs w:val="18"/>
          <w:lang w:eastAsia="en-US"/>
        </w:rPr>
        <w:t>from</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Intergovernmental</w:t>
      </w:r>
      <w:proofErr w:type="spellEnd"/>
      <w:r w:rsidRPr="00E5004E">
        <w:rPr>
          <w:iCs/>
          <w:sz w:val="18"/>
          <w:szCs w:val="18"/>
          <w:lang w:eastAsia="en-US"/>
        </w:rPr>
        <w:t xml:space="preserve"> Panel on </w:t>
      </w:r>
      <w:proofErr w:type="spellStart"/>
      <w:r w:rsidRPr="00E5004E">
        <w:rPr>
          <w:iCs/>
          <w:sz w:val="18"/>
          <w:szCs w:val="18"/>
          <w:lang w:eastAsia="en-US"/>
        </w:rPr>
        <w:t>Climate</w:t>
      </w:r>
      <w:proofErr w:type="spellEnd"/>
      <w:r w:rsidRPr="00E5004E">
        <w:rPr>
          <w:iCs/>
          <w:sz w:val="18"/>
          <w:szCs w:val="18"/>
          <w:lang w:eastAsia="en-US"/>
        </w:rPr>
        <w:t xml:space="preserve"> </w:t>
      </w:r>
      <w:proofErr w:type="spellStart"/>
      <w:r w:rsidRPr="00E5004E">
        <w:rPr>
          <w:iCs/>
          <w:sz w:val="18"/>
          <w:szCs w:val="18"/>
          <w:lang w:eastAsia="en-US"/>
        </w:rPr>
        <w:t>Change</w:t>
      </w:r>
      <w:proofErr w:type="spellEnd"/>
      <w:r w:rsidRPr="00E5004E">
        <w:rPr>
          <w:iCs/>
          <w:sz w:val="18"/>
          <w:szCs w:val="18"/>
          <w:lang w:eastAsia="en-US"/>
        </w:rPr>
        <w:t xml:space="preserve"> (IPCC) 1.5 °C </w:t>
      </w:r>
      <w:proofErr w:type="spellStart"/>
      <w:r w:rsidRPr="00E5004E">
        <w:rPr>
          <w:iCs/>
          <w:sz w:val="18"/>
          <w:szCs w:val="18"/>
          <w:lang w:eastAsia="en-US"/>
        </w:rPr>
        <w:t>scenario</w:t>
      </w:r>
      <w:proofErr w:type="spellEnd"/>
      <w:r w:rsidRPr="00E5004E">
        <w:rPr>
          <w:iCs/>
          <w:sz w:val="18"/>
          <w:szCs w:val="18"/>
          <w:lang w:eastAsia="en-US"/>
        </w:rPr>
        <w:t xml:space="preserve"> and </w:t>
      </w:r>
      <w:proofErr w:type="spellStart"/>
      <w:r w:rsidRPr="00E5004E">
        <w:rPr>
          <w:iCs/>
          <w:sz w:val="18"/>
          <w:szCs w:val="18"/>
          <w:lang w:eastAsia="en-US"/>
        </w:rPr>
        <w:t>is</w:t>
      </w:r>
      <w:proofErr w:type="spellEnd"/>
      <w:r w:rsidRPr="00E5004E">
        <w:rPr>
          <w:iCs/>
          <w:sz w:val="18"/>
          <w:szCs w:val="18"/>
          <w:lang w:eastAsia="en-US"/>
        </w:rPr>
        <w:t xml:space="preserve"> </w:t>
      </w:r>
      <w:proofErr w:type="spellStart"/>
      <w:r w:rsidRPr="00E5004E">
        <w:rPr>
          <w:iCs/>
          <w:sz w:val="18"/>
          <w:szCs w:val="18"/>
          <w:lang w:eastAsia="en-US"/>
        </w:rPr>
        <w:t>defined</w:t>
      </w:r>
      <w:proofErr w:type="spellEnd"/>
      <w:r w:rsidRPr="00E5004E">
        <w:rPr>
          <w:iCs/>
          <w:sz w:val="18"/>
          <w:szCs w:val="18"/>
          <w:lang w:eastAsia="en-US"/>
        </w:rPr>
        <w:t xml:space="preserve"> by </w:t>
      </w:r>
      <w:proofErr w:type="spellStart"/>
      <w:r w:rsidRPr="00E5004E">
        <w:rPr>
          <w:iCs/>
          <w:sz w:val="18"/>
          <w:szCs w:val="18"/>
          <w:lang w:eastAsia="en-US"/>
        </w:rPr>
        <w:t>an</w:t>
      </w:r>
      <w:proofErr w:type="spellEnd"/>
      <w:r w:rsidRPr="00E5004E">
        <w:rPr>
          <w:iCs/>
          <w:sz w:val="18"/>
          <w:szCs w:val="18"/>
          <w:lang w:eastAsia="en-US"/>
        </w:rPr>
        <w:t xml:space="preserve"> </w:t>
      </w:r>
      <w:proofErr w:type="spellStart"/>
      <w:r w:rsidRPr="00E5004E">
        <w:rPr>
          <w:iCs/>
          <w:sz w:val="18"/>
          <w:szCs w:val="18"/>
          <w:lang w:eastAsia="en-US"/>
        </w:rPr>
        <w:t>annual</w:t>
      </w:r>
      <w:proofErr w:type="spellEnd"/>
      <w:r w:rsidRPr="00E5004E">
        <w:rPr>
          <w:iCs/>
          <w:sz w:val="18"/>
          <w:szCs w:val="18"/>
          <w:lang w:eastAsia="en-US"/>
        </w:rPr>
        <w:t xml:space="preserve"> minimum </w:t>
      </w:r>
      <w:proofErr w:type="spellStart"/>
      <w:r w:rsidRPr="00E5004E">
        <w:rPr>
          <w:iCs/>
          <w:sz w:val="18"/>
          <w:szCs w:val="18"/>
          <w:lang w:eastAsia="en-US"/>
        </w:rPr>
        <w:t>carbon</w:t>
      </w:r>
      <w:proofErr w:type="spellEnd"/>
      <w:r w:rsidRPr="00E5004E">
        <w:rPr>
          <w:iCs/>
          <w:sz w:val="18"/>
          <w:szCs w:val="18"/>
          <w:lang w:eastAsia="en-US"/>
        </w:rPr>
        <w:t xml:space="preserve"> intensity </w:t>
      </w:r>
      <w:proofErr w:type="spellStart"/>
      <w:r w:rsidRPr="00E5004E">
        <w:rPr>
          <w:iCs/>
          <w:sz w:val="18"/>
          <w:szCs w:val="18"/>
          <w:lang w:eastAsia="en-US"/>
        </w:rPr>
        <w:t>reduction</w:t>
      </w:r>
      <w:proofErr w:type="spellEnd"/>
      <w:r w:rsidRPr="00E5004E">
        <w:rPr>
          <w:iCs/>
          <w:sz w:val="18"/>
          <w:szCs w:val="18"/>
          <w:lang w:eastAsia="en-US"/>
        </w:rPr>
        <w:t xml:space="preserve"> </w:t>
      </w:r>
      <w:proofErr w:type="spellStart"/>
      <w:r w:rsidRPr="00E5004E">
        <w:rPr>
          <w:iCs/>
          <w:sz w:val="18"/>
          <w:szCs w:val="18"/>
          <w:lang w:eastAsia="en-US"/>
        </w:rPr>
        <w:t>of</w:t>
      </w:r>
      <w:proofErr w:type="spellEnd"/>
      <w:r w:rsidRPr="00E5004E">
        <w:rPr>
          <w:iCs/>
          <w:sz w:val="18"/>
          <w:szCs w:val="18"/>
          <w:lang w:eastAsia="en-US"/>
        </w:rPr>
        <w:t xml:space="preserve"> </w:t>
      </w:r>
      <w:proofErr w:type="gramStart"/>
      <w:r w:rsidRPr="00E5004E">
        <w:rPr>
          <w:iCs/>
          <w:sz w:val="18"/>
          <w:szCs w:val="18"/>
          <w:lang w:eastAsia="en-US"/>
        </w:rPr>
        <w:t>7%</w:t>
      </w:r>
      <w:proofErr w:type="gramEnd"/>
      <w:r w:rsidRPr="00E5004E">
        <w:rPr>
          <w:iCs/>
          <w:sz w:val="18"/>
          <w:szCs w:val="18"/>
          <w:lang w:eastAsia="en-US"/>
        </w:rPr>
        <w:t xml:space="preserve"> </w:t>
      </w:r>
      <w:proofErr w:type="spellStart"/>
      <w:r w:rsidRPr="00E5004E">
        <w:rPr>
          <w:iCs/>
          <w:sz w:val="18"/>
          <w:szCs w:val="18"/>
          <w:lang w:eastAsia="en-US"/>
        </w:rPr>
        <w:t>compared</w:t>
      </w:r>
      <w:proofErr w:type="spellEnd"/>
      <w:r w:rsidRPr="00E5004E">
        <w:rPr>
          <w:iCs/>
          <w:sz w:val="18"/>
          <w:szCs w:val="18"/>
          <w:lang w:eastAsia="en-US"/>
        </w:rPr>
        <w:t xml:space="preserve"> to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carbon</w:t>
      </w:r>
      <w:proofErr w:type="spellEnd"/>
      <w:r w:rsidRPr="00E5004E">
        <w:rPr>
          <w:iCs/>
          <w:sz w:val="18"/>
          <w:szCs w:val="18"/>
          <w:lang w:eastAsia="en-US"/>
        </w:rPr>
        <w:t xml:space="preserve"> intensity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Index on </w:t>
      </w:r>
      <w:proofErr w:type="spellStart"/>
      <w:r w:rsidRPr="00E5004E">
        <w:rPr>
          <w:iCs/>
          <w:sz w:val="18"/>
          <w:szCs w:val="18"/>
          <w:lang w:eastAsia="en-US"/>
        </w:rPr>
        <w:t>its</w:t>
      </w:r>
      <w:proofErr w:type="spellEnd"/>
      <w:r w:rsidRPr="00E5004E">
        <w:rPr>
          <w:iCs/>
          <w:sz w:val="18"/>
          <w:szCs w:val="18"/>
          <w:lang w:eastAsia="en-US"/>
        </w:rPr>
        <w:t xml:space="preserve"> base </w:t>
      </w:r>
      <w:proofErr w:type="spellStart"/>
      <w:r w:rsidRPr="00E5004E">
        <w:rPr>
          <w:iCs/>
          <w:sz w:val="18"/>
          <w:szCs w:val="18"/>
          <w:lang w:eastAsia="en-US"/>
        </w:rPr>
        <w:t>date</w:t>
      </w:r>
      <w:proofErr w:type="spellEnd"/>
      <w:r w:rsidRPr="00E5004E">
        <w:rPr>
          <w:iCs/>
          <w:sz w:val="18"/>
          <w:szCs w:val="18"/>
          <w:lang w:eastAsia="en-US"/>
        </w:rPr>
        <w:t xml:space="preserve"> (31 </w:t>
      </w:r>
      <w:proofErr w:type="spellStart"/>
      <w:r w:rsidRPr="00E5004E">
        <w:rPr>
          <w:iCs/>
          <w:sz w:val="18"/>
          <w:szCs w:val="18"/>
          <w:lang w:eastAsia="en-US"/>
        </w:rPr>
        <w:t>January</w:t>
      </w:r>
      <w:proofErr w:type="spellEnd"/>
      <w:r w:rsidRPr="00E5004E">
        <w:rPr>
          <w:iCs/>
          <w:sz w:val="18"/>
          <w:szCs w:val="18"/>
          <w:lang w:eastAsia="en-US"/>
        </w:rPr>
        <w:t xml:space="preserve"> 2020) in a </w:t>
      </w:r>
      <w:proofErr w:type="spellStart"/>
      <w:r w:rsidRPr="00E5004E">
        <w:rPr>
          <w:iCs/>
          <w:sz w:val="18"/>
          <w:szCs w:val="18"/>
          <w:lang w:eastAsia="en-US"/>
        </w:rPr>
        <w:t>geometric</w:t>
      </w:r>
      <w:proofErr w:type="spellEnd"/>
      <w:r w:rsidRPr="00E5004E">
        <w:rPr>
          <w:iCs/>
          <w:sz w:val="18"/>
          <w:szCs w:val="18"/>
          <w:lang w:eastAsia="en-US"/>
        </w:rPr>
        <w:t xml:space="preserve"> </w:t>
      </w:r>
      <w:proofErr w:type="spellStart"/>
      <w:r w:rsidRPr="00E5004E">
        <w:rPr>
          <w:iCs/>
          <w:sz w:val="18"/>
          <w:szCs w:val="18"/>
          <w:lang w:eastAsia="en-US"/>
        </w:rPr>
        <w:t>progression</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gramStart"/>
      <w:r w:rsidRPr="00E5004E">
        <w:rPr>
          <w:iCs/>
          <w:sz w:val="18"/>
          <w:szCs w:val="18"/>
          <w:lang w:eastAsia="en-US"/>
        </w:rPr>
        <w:t>7%</w:t>
      </w:r>
      <w:proofErr w:type="gramEnd"/>
      <w:r w:rsidRPr="00E5004E">
        <w:rPr>
          <w:iCs/>
          <w:sz w:val="18"/>
          <w:szCs w:val="18"/>
          <w:lang w:eastAsia="en-US"/>
        </w:rPr>
        <w:t xml:space="preserve"> </w:t>
      </w:r>
      <w:proofErr w:type="spellStart"/>
      <w:r w:rsidRPr="00E5004E">
        <w:rPr>
          <w:iCs/>
          <w:sz w:val="18"/>
          <w:szCs w:val="18"/>
          <w:lang w:eastAsia="en-US"/>
        </w:rPr>
        <w:t>annual</w:t>
      </w:r>
      <w:proofErr w:type="spellEnd"/>
      <w:r w:rsidRPr="00E5004E">
        <w:rPr>
          <w:iCs/>
          <w:sz w:val="18"/>
          <w:szCs w:val="18"/>
          <w:lang w:eastAsia="en-US"/>
        </w:rPr>
        <w:t xml:space="preserve"> </w:t>
      </w:r>
      <w:proofErr w:type="spellStart"/>
      <w:r w:rsidRPr="00E5004E">
        <w:rPr>
          <w:iCs/>
          <w:sz w:val="18"/>
          <w:szCs w:val="18"/>
          <w:lang w:eastAsia="en-US"/>
        </w:rPr>
        <w:t>reduction</w:t>
      </w:r>
      <w:proofErr w:type="spellEnd"/>
      <w:r w:rsidRPr="00E5004E">
        <w:rPr>
          <w:iCs/>
          <w:sz w:val="18"/>
          <w:szCs w:val="18"/>
          <w:lang w:eastAsia="en-US"/>
        </w:rPr>
        <w:t xml:space="preserve"> </w:t>
      </w:r>
      <w:proofErr w:type="spellStart"/>
      <w:r w:rsidRPr="00E5004E">
        <w:rPr>
          <w:iCs/>
          <w:sz w:val="18"/>
          <w:szCs w:val="18"/>
          <w:lang w:eastAsia="en-US"/>
        </w:rPr>
        <w:t>is</w:t>
      </w:r>
      <w:proofErr w:type="spellEnd"/>
      <w:r w:rsidRPr="00E5004E">
        <w:rPr>
          <w:iCs/>
          <w:sz w:val="18"/>
          <w:szCs w:val="18"/>
          <w:lang w:eastAsia="en-US"/>
        </w:rPr>
        <w:t xml:space="preserve"> split </w:t>
      </w:r>
      <w:proofErr w:type="spellStart"/>
      <w:r w:rsidRPr="00E5004E">
        <w:rPr>
          <w:iCs/>
          <w:sz w:val="18"/>
          <w:szCs w:val="18"/>
          <w:lang w:eastAsia="en-US"/>
        </w:rPr>
        <w:t>into</w:t>
      </w:r>
      <w:proofErr w:type="spellEnd"/>
      <w:r w:rsidRPr="00E5004E">
        <w:rPr>
          <w:iCs/>
          <w:sz w:val="18"/>
          <w:szCs w:val="18"/>
          <w:lang w:eastAsia="en-US"/>
        </w:rPr>
        <w:t xml:space="preserve"> </w:t>
      </w:r>
      <w:proofErr w:type="spellStart"/>
      <w:r w:rsidRPr="00E5004E">
        <w:rPr>
          <w:iCs/>
          <w:sz w:val="18"/>
          <w:szCs w:val="18"/>
          <w:lang w:eastAsia="en-US"/>
        </w:rPr>
        <w:t>two</w:t>
      </w:r>
      <w:proofErr w:type="spellEnd"/>
      <w:r w:rsidRPr="00E5004E">
        <w:rPr>
          <w:iCs/>
          <w:sz w:val="18"/>
          <w:szCs w:val="18"/>
          <w:lang w:eastAsia="en-US"/>
        </w:rPr>
        <w:t xml:space="preserve"> 3.5% </w:t>
      </w:r>
      <w:proofErr w:type="spellStart"/>
      <w:r w:rsidRPr="00E5004E">
        <w:rPr>
          <w:iCs/>
          <w:sz w:val="18"/>
          <w:szCs w:val="18"/>
          <w:lang w:eastAsia="en-US"/>
        </w:rPr>
        <w:t>semi-annual</w:t>
      </w:r>
      <w:proofErr w:type="spellEnd"/>
      <w:r w:rsidRPr="00E5004E">
        <w:rPr>
          <w:iCs/>
          <w:sz w:val="18"/>
          <w:szCs w:val="18"/>
          <w:lang w:eastAsia="en-US"/>
        </w:rPr>
        <w:t xml:space="preserve"> </w:t>
      </w:r>
      <w:proofErr w:type="spellStart"/>
      <w:r w:rsidRPr="00E5004E">
        <w:rPr>
          <w:iCs/>
          <w:sz w:val="18"/>
          <w:szCs w:val="18"/>
          <w:lang w:eastAsia="en-US"/>
        </w:rPr>
        <w:t>reductions</w:t>
      </w:r>
      <w:proofErr w:type="spellEnd"/>
      <w:r w:rsidRPr="00E5004E">
        <w:rPr>
          <w:iCs/>
          <w:sz w:val="18"/>
          <w:szCs w:val="18"/>
          <w:lang w:eastAsia="en-US"/>
        </w:rPr>
        <w:t xml:space="preserve"> </w:t>
      </w:r>
      <w:proofErr w:type="spellStart"/>
      <w:r w:rsidRPr="00E5004E">
        <w:rPr>
          <w:iCs/>
          <w:sz w:val="18"/>
          <w:szCs w:val="18"/>
          <w:lang w:eastAsia="en-US"/>
        </w:rPr>
        <w:t>which</w:t>
      </w:r>
      <w:proofErr w:type="spellEnd"/>
      <w:r w:rsidRPr="00E5004E">
        <w:rPr>
          <w:iCs/>
          <w:sz w:val="18"/>
          <w:szCs w:val="18"/>
          <w:lang w:eastAsia="en-US"/>
        </w:rPr>
        <w:t xml:space="preserve"> </w:t>
      </w:r>
      <w:proofErr w:type="spellStart"/>
      <w:r w:rsidRPr="00E5004E">
        <w:rPr>
          <w:iCs/>
          <w:sz w:val="18"/>
          <w:szCs w:val="18"/>
          <w:lang w:eastAsia="en-US"/>
        </w:rPr>
        <w:t>become</w:t>
      </w:r>
      <w:proofErr w:type="spellEnd"/>
      <w:r w:rsidRPr="00E5004E">
        <w:rPr>
          <w:iCs/>
          <w:sz w:val="18"/>
          <w:szCs w:val="18"/>
          <w:lang w:eastAsia="en-US"/>
        </w:rPr>
        <w:t xml:space="preserve"> </w:t>
      </w:r>
      <w:proofErr w:type="spellStart"/>
      <w:r w:rsidRPr="00E5004E">
        <w:rPr>
          <w:iCs/>
          <w:sz w:val="18"/>
          <w:szCs w:val="18"/>
          <w:lang w:eastAsia="en-US"/>
        </w:rPr>
        <w:t>effective</w:t>
      </w:r>
      <w:proofErr w:type="spellEnd"/>
      <w:r w:rsidRPr="00E5004E">
        <w:rPr>
          <w:iCs/>
          <w:sz w:val="18"/>
          <w:szCs w:val="18"/>
          <w:lang w:eastAsia="en-US"/>
        </w:rPr>
        <w:t xml:space="preserve"> </w:t>
      </w:r>
      <w:proofErr w:type="spellStart"/>
      <w:r w:rsidRPr="00E5004E">
        <w:rPr>
          <w:iCs/>
          <w:sz w:val="18"/>
          <w:szCs w:val="18"/>
          <w:lang w:eastAsia="en-US"/>
        </w:rPr>
        <w:t>at</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end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January</w:t>
      </w:r>
      <w:proofErr w:type="spellEnd"/>
      <w:r w:rsidRPr="00E5004E">
        <w:rPr>
          <w:iCs/>
          <w:sz w:val="18"/>
          <w:szCs w:val="18"/>
          <w:lang w:eastAsia="en-US"/>
        </w:rPr>
        <w:t xml:space="preserve"> and end </w:t>
      </w:r>
      <w:proofErr w:type="spellStart"/>
      <w:r w:rsidRPr="00E5004E">
        <w:rPr>
          <w:iCs/>
          <w:sz w:val="18"/>
          <w:szCs w:val="18"/>
          <w:lang w:eastAsia="en-US"/>
        </w:rPr>
        <w:t>of</w:t>
      </w:r>
      <w:proofErr w:type="spellEnd"/>
      <w:r w:rsidRPr="00E5004E">
        <w:rPr>
          <w:iCs/>
          <w:sz w:val="18"/>
          <w:szCs w:val="18"/>
          <w:lang w:eastAsia="en-US"/>
        </w:rPr>
        <w:t xml:space="preserve"> July.</w:t>
      </w:r>
    </w:p>
    <w:p w14:paraId="70D2A19A" w14:textId="77777777" w:rsidR="005545A5" w:rsidRPr="00E5004E" w:rsidRDefault="005545A5" w:rsidP="005545A5">
      <w:pPr>
        <w:snapToGrid w:val="0"/>
        <w:spacing w:after="200" w:line="276" w:lineRule="auto"/>
        <w:ind w:right="-641"/>
        <w:rPr>
          <w:iCs/>
          <w:sz w:val="18"/>
          <w:szCs w:val="18"/>
          <w:lang w:eastAsia="en-US"/>
        </w:rPr>
      </w:pP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indices</w:t>
      </w:r>
      <w:proofErr w:type="spellEnd"/>
      <w:r w:rsidRPr="00E5004E">
        <w:rPr>
          <w:iCs/>
          <w:sz w:val="18"/>
          <w:szCs w:val="18"/>
          <w:lang w:eastAsia="en-US"/>
        </w:rPr>
        <w:t xml:space="preserve"> </w:t>
      </w:r>
      <w:proofErr w:type="spellStart"/>
      <w:r w:rsidRPr="00E5004E">
        <w:rPr>
          <w:iCs/>
          <w:sz w:val="18"/>
          <w:szCs w:val="18"/>
          <w:lang w:eastAsia="en-US"/>
        </w:rPr>
        <w:t>also</w:t>
      </w:r>
      <w:proofErr w:type="spellEnd"/>
      <w:r w:rsidRPr="00E5004E">
        <w:rPr>
          <w:iCs/>
          <w:sz w:val="18"/>
          <w:szCs w:val="18"/>
          <w:lang w:eastAsia="en-US"/>
        </w:rPr>
        <w:t xml:space="preserve"> </w:t>
      </w:r>
      <w:proofErr w:type="spellStart"/>
      <w:r w:rsidRPr="00E5004E">
        <w:rPr>
          <w:iCs/>
          <w:sz w:val="18"/>
          <w:szCs w:val="18"/>
          <w:lang w:eastAsia="en-US"/>
        </w:rPr>
        <w:t>apply</w:t>
      </w:r>
      <w:proofErr w:type="spellEnd"/>
      <w:r w:rsidRPr="00E5004E">
        <w:rPr>
          <w:iCs/>
          <w:sz w:val="18"/>
          <w:szCs w:val="18"/>
          <w:lang w:eastAsia="en-US"/>
        </w:rPr>
        <w:t xml:space="preserve"> </w:t>
      </w:r>
      <w:proofErr w:type="spellStart"/>
      <w:r w:rsidRPr="00E5004E">
        <w:rPr>
          <w:iCs/>
          <w:sz w:val="18"/>
          <w:szCs w:val="18"/>
          <w:lang w:eastAsia="en-US"/>
        </w:rPr>
        <w:t>the</w:t>
      </w:r>
      <w:proofErr w:type="spellEnd"/>
      <w:r w:rsidRPr="00E5004E">
        <w:rPr>
          <w:iCs/>
          <w:sz w:val="18"/>
          <w:szCs w:val="18"/>
          <w:lang w:eastAsia="en-US"/>
        </w:rPr>
        <w:t xml:space="preserve"> </w:t>
      </w:r>
      <w:proofErr w:type="spellStart"/>
      <w:r w:rsidRPr="00E5004E">
        <w:rPr>
          <w:iCs/>
          <w:sz w:val="18"/>
          <w:szCs w:val="18"/>
          <w:lang w:eastAsia="en-US"/>
        </w:rPr>
        <w:t>following</w:t>
      </w:r>
      <w:proofErr w:type="spellEnd"/>
      <w:r w:rsidRPr="00E5004E">
        <w:rPr>
          <w:iCs/>
          <w:sz w:val="18"/>
          <w:szCs w:val="18"/>
          <w:lang w:eastAsia="en-US"/>
        </w:rPr>
        <w:t xml:space="preserve"> </w:t>
      </w:r>
      <w:proofErr w:type="spellStart"/>
      <w:r w:rsidRPr="00E5004E">
        <w:rPr>
          <w:iCs/>
          <w:sz w:val="18"/>
          <w:szCs w:val="18"/>
          <w:lang w:eastAsia="en-US"/>
        </w:rPr>
        <w:t>exclusions</w:t>
      </w:r>
      <w:proofErr w:type="spellEnd"/>
      <w:r w:rsidRPr="00E5004E">
        <w:rPr>
          <w:iCs/>
          <w:sz w:val="18"/>
          <w:szCs w:val="18"/>
          <w:lang w:eastAsia="en-US"/>
        </w:rPr>
        <w:t>:</w:t>
      </w:r>
    </w:p>
    <w:p w14:paraId="5B8E962B" w14:textId="77777777" w:rsidR="005545A5" w:rsidRPr="00E5004E" w:rsidRDefault="005545A5" w:rsidP="005545A5">
      <w:pPr>
        <w:numPr>
          <w:ilvl w:val="0"/>
          <w:numId w:val="29"/>
        </w:numPr>
        <w:snapToGrid w:val="0"/>
        <w:spacing w:before="0" w:after="200" w:line="276" w:lineRule="auto"/>
        <w:ind w:left="720" w:right="-641"/>
        <w:contextualSpacing/>
        <w:jc w:val="left"/>
        <w:rPr>
          <w:iCs/>
          <w:sz w:val="18"/>
          <w:szCs w:val="18"/>
          <w:lang w:eastAsia="en-US"/>
        </w:rPr>
      </w:pPr>
      <w:proofErr w:type="spellStart"/>
      <w:r w:rsidRPr="00E5004E">
        <w:rPr>
          <w:iCs/>
          <w:sz w:val="18"/>
          <w:szCs w:val="18"/>
          <w:lang w:eastAsia="en-US"/>
        </w:rPr>
        <w:t>Coal</w:t>
      </w:r>
      <w:proofErr w:type="spellEnd"/>
      <w:r w:rsidRPr="00E5004E">
        <w:rPr>
          <w:iCs/>
          <w:sz w:val="18"/>
          <w:szCs w:val="18"/>
          <w:lang w:eastAsia="en-US"/>
        </w:rPr>
        <w:t xml:space="preserve"> </w:t>
      </w:r>
      <w:proofErr w:type="spellStart"/>
      <w:r w:rsidRPr="00E5004E">
        <w:rPr>
          <w:iCs/>
          <w:sz w:val="18"/>
          <w:szCs w:val="18"/>
          <w:lang w:eastAsia="en-US"/>
        </w:rPr>
        <w:t>mining</w:t>
      </w:r>
      <w:proofErr w:type="spellEnd"/>
      <w:r w:rsidRPr="00E5004E">
        <w:rPr>
          <w:iCs/>
          <w:sz w:val="18"/>
          <w:szCs w:val="18"/>
          <w:lang w:eastAsia="en-US"/>
        </w:rPr>
        <w:t xml:space="preserve"> and </w:t>
      </w:r>
      <w:proofErr w:type="spellStart"/>
      <w:r w:rsidRPr="00E5004E">
        <w:rPr>
          <w:iCs/>
          <w:sz w:val="18"/>
          <w:szCs w:val="18"/>
          <w:lang w:eastAsia="en-US"/>
        </w:rPr>
        <w:t>coal</w:t>
      </w:r>
      <w:proofErr w:type="spellEnd"/>
      <w:r w:rsidRPr="00E5004E">
        <w:rPr>
          <w:iCs/>
          <w:sz w:val="18"/>
          <w:szCs w:val="18"/>
          <w:lang w:eastAsia="en-US"/>
        </w:rPr>
        <w:t xml:space="preserve"> </w:t>
      </w:r>
      <w:proofErr w:type="spellStart"/>
      <w:r w:rsidRPr="00E5004E">
        <w:rPr>
          <w:iCs/>
          <w:sz w:val="18"/>
          <w:szCs w:val="18"/>
          <w:lang w:eastAsia="en-US"/>
        </w:rPr>
        <w:t>power</w:t>
      </w:r>
      <w:proofErr w:type="spellEnd"/>
      <w:r w:rsidRPr="00E5004E">
        <w:rPr>
          <w:iCs/>
          <w:sz w:val="18"/>
          <w:szCs w:val="18"/>
          <w:lang w:eastAsia="en-US"/>
        </w:rPr>
        <w:t xml:space="preserve"> </w:t>
      </w:r>
      <w:proofErr w:type="spellStart"/>
      <w:r w:rsidRPr="00E5004E">
        <w:rPr>
          <w:iCs/>
          <w:sz w:val="18"/>
          <w:szCs w:val="18"/>
          <w:lang w:eastAsia="en-US"/>
        </w:rPr>
        <w:t>generation</w:t>
      </w:r>
      <w:proofErr w:type="spellEnd"/>
      <w:r w:rsidRPr="00E5004E">
        <w:rPr>
          <w:iCs/>
          <w:sz w:val="18"/>
          <w:szCs w:val="18"/>
          <w:lang w:eastAsia="en-US"/>
        </w:rPr>
        <w:t>; &gt;</w:t>
      </w:r>
      <w:proofErr w:type="gramStart"/>
      <w:r w:rsidRPr="00E5004E">
        <w:rPr>
          <w:iCs/>
          <w:sz w:val="18"/>
          <w:szCs w:val="18"/>
          <w:lang w:eastAsia="en-US"/>
        </w:rPr>
        <w:t>10%</w:t>
      </w:r>
      <w:proofErr w:type="gramEnd"/>
      <w:r w:rsidRPr="00E5004E">
        <w:rPr>
          <w:iCs/>
          <w:sz w:val="18"/>
          <w:szCs w:val="18"/>
          <w:lang w:eastAsia="en-US"/>
        </w:rPr>
        <w:t xml:space="preserve"> </w:t>
      </w:r>
      <w:proofErr w:type="spellStart"/>
      <w:r w:rsidRPr="00E5004E">
        <w:rPr>
          <w:iCs/>
          <w:sz w:val="18"/>
          <w:szCs w:val="18"/>
          <w:lang w:eastAsia="en-US"/>
        </w:rPr>
        <w:t>revenues</w:t>
      </w:r>
      <w:proofErr w:type="spellEnd"/>
      <w:r w:rsidRPr="00E5004E">
        <w:rPr>
          <w:iCs/>
          <w:sz w:val="18"/>
          <w:szCs w:val="18"/>
          <w:lang w:eastAsia="en-US"/>
        </w:rPr>
        <w:t xml:space="preserve"> </w:t>
      </w:r>
      <w:proofErr w:type="spellStart"/>
      <w:r w:rsidRPr="00E5004E">
        <w:rPr>
          <w:iCs/>
          <w:sz w:val="18"/>
          <w:szCs w:val="18"/>
          <w:lang w:eastAsia="en-US"/>
        </w:rPr>
        <w:t>from</w:t>
      </w:r>
      <w:proofErr w:type="spellEnd"/>
      <w:r w:rsidRPr="00E5004E">
        <w:rPr>
          <w:iCs/>
          <w:sz w:val="18"/>
          <w:szCs w:val="18"/>
          <w:lang w:eastAsia="en-US"/>
        </w:rPr>
        <w:t xml:space="preserve"> </w:t>
      </w:r>
      <w:proofErr w:type="spellStart"/>
      <w:r w:rsidRPr="00E5004E">
        <w:rPr>
          <w:iCs/>
          <w:sz w:val="18"/>
          <w:szCs w:val="18"/>
          <w:lang w:eastAsia="en-US"/>
        </w:rPr>
        <w:t>fossil</w:t>
      </w:r>
      <w:proofErr w:type="spellEnd"/>
      <w:r w:rsidRPr="00E5004E">
        <w:rPr>
          <w:iCs/>
          <w:sz w:val="18"/>
          <w:szCs w:val="18"/>
          <w:lang w:eastAsia="en-US"/>
        </w:rPr>
        <w:t xml:space="preserve"> </w:t>
      </w:r>
      <w:proofErr w:type="spellStart"/>
      <w:r w:rsidRPr="00E5004E">
        <w:rPr>
          <w:iCs/>
          <w:sz w:val="18"/>
          <w:szCs w:val="18"/>
          <w:lang w:eastAsia="en-US"/>
        </w:rPr>
        <w:t>fuel</w:t>
      </w:r>
      <w:proofErr w:type="spellEnd"/>
      <w:r w:rsidRPr="00E5004E">
        <w:rPr>
          <w:iCs/>
          <w:sz w:val="18"/>
          <w:szCs w:val="18"/>
          <w:lang w:eastAsia="en-US"/>
        </w:rPr>
        <w:t xml:space="preserve"> </w:t>
      </w:r>
      <w:proofErr w:type="spellStart"/>
      <w:r w:rsidRPr="00E5004E">
        <w:rPr>
          <w:iCs/>
          <w:sz w:val="18"/>
          <w:szCs w:val="18"/>
          <w:lang w:eastAsia="en-US"/>
        </w:rPr>
        <w:t>production</w:t>
      </w:r>
      <w:proofErr w:type="spellEnd"/>
      <w:r w:rsidRPr="00E5004E">
        <w:rPr>
          <w:iCs/>
          <w:sz w:val="18"/>
          <w:szCs w:val="18"/>
          <w:lang w:eastAsia="en-US"/>
        </w:rPr>
        <w:t xml:space="preserve">, </w:t>
      </w:r>
      <w:proofErr w:type="spellStart"/>
      <w:r w:rsidRPr="00E5004E">
        <w:rPr>
          <w:iCs/>
          <w:sz w:val="18"/>
          <w:szCs w:val="18"/>
          <w:lang w:eastAsia="en-US"/>
        </w:rPr>
        <w:t>exploration</w:t>
      </w:r>
      <w:proofErr w:type="spellEnd"/>
      <w:r w:rsidRPr="00E5004E">
        <w:rPr>
          <w:iCs/>
          <w:sz w:val="18"/>
          <w:szCs w:val="18"/>
          <w:lang w:eastAsia="en-US"/>
        </w:rPr>
        <w:t xml:space="preserve">, </w:t>
      </w:r>
      <w:proofErr w:type="spellStart"/>
      <w:r w:rsidRPr="00E5004E">
        <w:rPr>
          <w:iCs/>
          <w:sz w:val="18"/>
          <w:szCs w:val="18"/>
          <w:lang w:eastAsia="en-US"/>
        </w:rPr>
        <w:t>distribution</w:t>
      </w:r>
      <w:proofErr w:type="spellEnd"/>
      <w:r w:rsidRPr="00E5004E">
        <w:rPr>
          <w:iCs/>
          <w:sz w:val="18"/>
          <w:szCs w:val="18"/>
          <w:lang w:eastAsia="en-US"/>
        </w:rPr>
        <w:t xml:space="preserve"> and </w:t>
      </w:r>
      <w:proofErr w:type="spellStart"/>
      <w:r w:rsidRPr="00E5004E">
        <w:rPr>
          <w:iCs/>
          <w:sz w:val="18"/>
          <w:szCs w:val="18"/>
          <w:lang w:eastAsia="en-US"/>
        </w:rPr>
        <w:t>services</w:t>
      </w:r>
      <w:proofErr w:type="spellEnd"/>
    </w:p>
    <w:p w14:paraId="0823C7F7" w14:textId="77777777" w:rsidR="005545A5" w:rsidRPr="00E5004E" w:rsidRDefault="005545A5" w:rsidP="005545A5">
      <w:pPr>
        <w:numPr>
          <w:ilvl w:val="0"/>
          <w:numId w:val="29"/>
        </w:numPr>
        <w:snapToGrid w:val="0"/>
        <w:spacing w:before="0" w:after="200" w:line="276" w:lineRule="auto"/>
        <w:ind w:left="720" w:right="-641"/>
        <w:contextualSpacing/>
        <w:jc w:val="left"/>
        <w:rPr>
          <w:iCs/>
          <w:sz w:val="18"/>
          <w:szCs w:val="18"/>
          <w:lang w:eastAsia="en-US"/>
        </w:rPr>
      </w:pPr>
      <w:r w:rsidRPr="00E5004E">
        <w:rPr>
          <w:iCs/>
          <w:sz w:val="18"/>
          <w:szCs w:val="18"/>
          <w:lang w:eastAsia="en-US"/>
        </w:rPr>
        <w:t>&gt;</w:t>
      </w:r>
      <w:proofErr w:type="gramStart"/>
      <w:r w:rsidRPr="00E5004E">
        <w:rPr>
          <w:iCs/>
          <w:sz w:val="18"/>
          <w:szCs w:val="18"/>
          <w:lang w:eastAsia="en-US"/>
        </w:rPr>
        <w:t>50%</w:t>
      </w:r>
      <w:proofErr w:type="gramEnd"/>
      <w:r w:rsidRPr="00E5004E">
        <w:rPr>
          <w:iCs/>
          <w:sz w:val="18"/>
          <w:szCs w:val="18"/>
          <w:lang w:eastAsia="en-US"/>
        </w:rPr>
        <w:t xml:space="preserve"> </w:t>
      </w:r>
      <w:proofErr w:type="spellStart"/>
      <w:r w:rsidRPr="00E5004E">
        <w:rPr>
          <w:iCs/>
          <w:sz w:val="18"/>
          <w:szCs w:val="18"/>
          <w:lang w:eastAsia="en-US"/>
        </w:rPr>
        <w:t>revenues</w:t>
      </w:r>
      <w:proofErr w:type="spellEnd"/>
      <w:r w:rsidRPr="00E5004E">
        <w:rPr>
          <w:iCs/>
          <w:sz w:val="18"/>
          <w:szCs w:val="18"/>
          <w:lang w:eastAsia="en-US"/>
        </w:rPr>
        <w:t xml:space="preserve"> </w:t>
      </w:r>
      <w:proofErr w:type="spellStart"/>
      <w:r w:rsidRPr="00E5004E">
        <w:rPr>
          <w:iCs/>
          <w:sz w:val="18"/>
          <w:szCs w:val="18"/>
          <w:lang w:eastAsia="en-US"/>
        </w:rPr>
        <w:t>from</w:t>
      </w:r>
      <w:proofErr w:type="spellEnd"/>
      <w:r w:rsidRPr="00E5004E">
        <w:rPr>
          <w:iCs/>
          <w:sz w:val="18"/>
          <w:szCs w:val="18"/>
          <w:lang w:eastAsia="en-US"/>
        </w:rPr>
        <w:t xml:space="preserve"> </w:t>
      </w:r>
      <w:proofErr w:type="spellStart"/>
      <w:r w:rsidRPr="00E5004E">
        <w:rPr>
          <w:iCs/>
          <w:sz w:val="18"/>
          <w:szCs w:val="18"/>
          <w:lang w:eastAsia="en-US"/>
        </w:rPr>
        <w:t>electric</w:t>
      </w:r>
      <w:proofErr w:type="spellEnd"/>
      <w:r w:rsidRPr="00E5004E">
        <w:rPr>
          <w:iCs/>
          <w:sz w:val="18"/>
          <w:szCs w:val="18"/>
          <w:lang w:eastAsia="en-US"/>
        </w:rPr>
        <w:t xml:space="preserve"> </w:t>
      </w:r>
      <w:proofErr w:type="spellStart"/>
      <w:r w:rsidRPr="00E5004E">
        <w:rPr>
          <w:iCs/>
          <w:sz w:val="18"/>
          <w:szCs w:val="18"/>
          <w:lang w:eastAsia="en-US"/>
        </w:rPr>
        <w:t>power</w:t>
      </w:r>
      <w:proofErr w:type="spellEnd"/>
      <w:r w:rsidRPr="00E5004E">
        <w:rPr>
          <w:iCs/>
          <w:sz w:val="18"/>
          <w:szCs w:val="18"/>
          <w:lang w:eastAsia="en-US"/>
        </w:rPr>
        <w:t xml:space="preserve"> </w:t>
      </w:r>
      <w:proofErr w:type="spellStart"/>
      <w:r w:rsidRPr="00E5004E">
        <w:rPr>
          <w:iCs/>
          <w:sz w:val="18"/>
          <w:szCs w:val="18"/>
          <w:lang w:eastAsia="en-US"/>
        </w:rPr>
        <w:t>generation</w:t>
      </w:r>
      <w:proofErr w:type="spellEnd"/>
      <w:r w:rsidRPr="00E5004E">
        <w:rPr>
          <w:iCs/>
          <w:sz w:val="18"/>
          <w:szCs w:val="18"/>
          <w:lang w:eastAsia="en-US"/>
        </w:rPr>
        <w:t xml:space="preserve"> </w:t>
      </w:r>
      <w:proofErr w:type="spellStart"/>
      <w:r w:rsidRPr="00E5004E">
        <w:rPr>
          <w:iCs/>
          <w:sz w:val="18"/>
          <w:szCs w:val="18"/>
          <w:lang w:eastAsia="en-US"/>
        </w:rPr>
        <w:t>from</w:t>
      </w:r>
      <w:proofErr w:type="spellEnd"/>
      <w:r w:rsidRPr="00E5004E">
        <w:rPr>
          <w:iCs/>
          <w:sz w:val="18"/>
          <w:szCs w:val="18"/>
          <w:lang w:eastAsia="en-US"/>
        </w:rPr>
        <w:t xml:space="preserve"> </w:t>
      </w:r>
      <w:proofErr w:type="spellStart"/>
      <w:r w:rsidRPr="00E5004E">
        <w:rPr>
          <w:iCs/>
          <w:sz w:val="18"/>
          <w:szCs w:val="18"/>
          <w:lang w:eastAsia="en-US"/>
        </w:rPr>
        <w:t>fossil</w:t>
      </w:r>
      <w:proofErr w:type="spellEnd"/>
      <w:r w:rsidRPr="00E5004E">
        <w:rPr>
          <w:iCs/>
          <w:sz w:val="18"/>
          <w:szCs w:val="18"/>
          <w:lang w:eastAsia="en-US"/>
        </w:rPr>
        <w:t xml:space="preserve"> </w:t>
      </w:r>
      <w:proofErr w:type="spellStart"/>
      <w:r w:rsidRPr="00E5004E">
        <w:rPr>
          <w:iCs/>
          <w:sz w:val="18"/>
          <w:szCs w:val="18"/>
          <w:lang w:eastAsia="en-US"/>
        </w:rPr>
        <w:t>fuel</w:t>
      </w:r>
      <w:proofErr w:type="spellEnd"/>
      <w:r w:rsidRPr="00E5004E">
        <w:rPr>
          <w:iCs/>
          <w:sz w:val="18"/>
          <w:szCs w:val="18"/>
          <w:lang w:eastAsia="en-US"/>
        </w:rPr>
        <w:t xml:space="preserve"> </w:t>
      </w:r>
      <w:proofErr w:type="spellStart"/>
      <w:r w:rsidRPr="00E5004E">
        <w:rPr>
          <w:iCs/>
          <w:sz w:val="18"/>
          <w:szCs w:val="18"/>
          <w:lang w:eastAsia="en-US"/>
        </w:rPr>
        <w:t>sources</w:t>
      </w:r>
      <w:proofErr w:type="spellEnd"/>
    </w:p>
    <w:p w14:paraId="5FBB0820" w14:textId="77777777" w:rsidR="005545A5" w:rsidRPr="00E5004E" w:rsidRDefault="005545A5" w:rsidP="005545A5">
      <w:pPr>
        <w:numPr>
          <w:ilvl w:val="0"/>
          <w:numId w:val="29"/>
        </w:numPr>
        <w:snapToGrid w:val="0"/>
        <w:spacing w:before="0" w:after="200" w:line="276" w:lineRule="auto"/>
        <w:ind w:left="720" w:right="-641"/>
        <w:contextualSpacing/>
        <w:jc w:val="left"/>
        <w:rPr>
          <w:iCs/>
          <w:sz w:val="18"/>
          <w:szCs w:val="18"/>
          <w:lang w:eastAsia="en-US"/>
        </w:rPr>
      </w:pPr>
      <w:proofErr w:type="spellStart"/>
      <w:r w:rsidRPr="00E5004E">
        <w:rPr>
          <w:iCs/>
          <w:sz w:val="18"/>
          <w:szCs w:val="18"/>
          <w:lang w:eastAsia="en-US"/>
        </w:rPr>
        <w:t>Companies</w:t>
      </w:r>
      <w:proofErr w:type="spellEnd"/>
      <w:r w:rsidRPr="00E5004E">
        <w:rPr>
          <w:iCs/>
          <w:sz w:val="18"/>
          <w:szCs w:val="18"/>
          <w:lang w:eastAsia="en-US"/>
        </w:rPr>
        <w:t xml:space="preserve"> </w:t>
      </w:r>
      <w:proofErr w:type="spellStart"/>
      <w:r w:rsidRPr="00E5004E">
        <w:rPr>
          <w:iCs/>
          <w:sz w:val="18"/>
          <w:szCs w:val="18"/>
          <w:lang w:eastAsia="en-US"/>
        </w:rPr>
        <w:t>with</w:t>
      </w:r>
      <w:proofErr w:type="spellEnd"/>
      <w:r w:rsidRPr="00E5004E">
        <w:rPr>
          <w:iCs/>
          <w:sz w:val="18"/>
          <w:szCs w:val="18"/>
          <w:lang w:eastAsia="en-US"/>
        </w:rPr>
        <w:t xml:space="preserve"> </w:t>
      </w:r>
      <w:proofErr w:type="spellStart"/>
      <w:r w:rsidRPr="00E5004E">
        <w:rPr>
          <w:iCs/>
          <w:sz w:val="18"/>
          <w:szCs w:val="18"/>
          <w:lang w:eastAsia="en-US"/>
        </w:rPr>
        <w:t>significant</w:t>
      </w:r>
      <w:proofErr w:type="spellEnd"/>
      <w:r w:rsidRPr="00E5004E">
        <w:rPr>
          <w:iCs/>
          <w:sz w:val="18"/>
          <w:szCs w:val="18"/>
          <w:lang w:eastAsia="en-US"/>
        </w:rPr>
        <w:t xml:space="preserve"> negative </w:t>
      </w:r>
      <w:proofErr w:type="spellStart"/>
      <w:r w:rsidRPr="00E5004E">
        <w:rPr>
          <w:iCs/>
          <w:sz w:val="18"/>
          <w:szCs w:val="18"/>
          <w:lang w:eastAsia="en-US"/>
        </w:rPr>
        <w:t>impact</w:t>
      </w:r>
      <w:proofErr w:type="spellEnd"/>
      <w:r w:rsidRPr="00E5004E">
        <w:rPr>
          <w:iCs/>
          <w:sz w:val="18"/>
          <w:szCs w:val="18"/>
          <w:lang w:eastAsia="en-US"/>
        </w:rPr>
        <w:t xml:space="preserve"> on </w:t>
      </w:r>
      <w:proofErr w:type="spellStart"/>
      <w:r w:rsidRPr="00E5004E">
        <w:rPr>
          <w:iCs/>
          <w:sz w:val="18"/>
          <w:szCs w:val="18"/>
          <w:lang w:eastAsia="en-US"/>
        </w:rPr>
        <w:t>one</w:t>
      </w:r>
      <w:proofErr w:type="spellEnd"/>
      <w:r w:rsidRPr="00E5004E">
        <w:rPr>
          <w:iCs/>
          <w:sz w:val="18"/>
          <w:szCs w:val="18"/>
          <w:lang w:eastAsia="en-US"/>
        </w:rPr>
        <w:t xml:space="preserve"> </w:t>
      </w:r>
      <w:proofErr w:type="spellStart"/>
      <w:r w:rsidRPr="00E5004E">
        <w:rPr>
          <w:iCs/>
          <w:sz w:val="18"/>
          <w:szCs w:val="18"/>
          <w:lang w:eastAsia="en-US"/>
        </w:rPr>
        <w:t>of</w:t>
      </w:r>
      <w:proofErr w:type="spellEnd"/>
      <w:r w:rsidRPr="00E5004E">
        <w:rPr>
          <w:iCs/>
          <w:sz w:val="18"/>
          <w:szCs w:val="18"/>
          <w:lang w:eastAsia="en-US"/>
        </w:rPr>
        <w:t xml:space="preserve"> </w:t>
      </w:r>
      <w:proofErr w:type="spellStart"/>
      <w:r w:rsidRPr="00E5004E">
        <w:rPr>
          <w:iCs/>
          <w:sz w:val="18"/>
          <w:szCs w:val="18"/>
          <w:lang w:eastAsia="en-US"/>
        </w:rPr>
        <w:t>SDGs</w:t>
      </w:r>
      <w:proofErr w:type="spellEnd"/>
      <w:r w:rsidRPr="00E5004E">
        <w:rPr>
          <w:iCs/>
          <w:sz w:val="18"/>
          <w:szCs w:val="18"/>
          <w:lang w:eastAsia="en-US"/>
        </w:rPr>
        <w:t xml:space="preserve"> 12-15</w:t>
      </w:r>
    </w:p>
    <w:p w14:paraId="253392B6" w14:textId="77777777" w:rsidR="005545A5" w:rsidRPr="00E5004E" w:rsidRDefault="005545A5" w:rsidP="005545A5">
      <w:pPr>
        <w:numPr>
          <w:ilvl w:val="0"/>
          <w:numId w:val="29"/>
        </w:numPr>
        <w:snapToGrid w:val="0"/>
        <w:spacing w:before="0" w:after="200" w:line="276" w:lineRule="auto"/>
        <w:ind w:left="720" w:right="-641"/>
        <w:contextualSpacing/>
        <w:jc w:val="left"/>
        <w:rPr>
          <w:iCs/>
          <w:sz w:val="18"/>
          <w:szCs w:val="18"/>
          <w:lang w:eastAsia="en-US"/>
        </w:rPr>
      </w:pPr>
      <w:proofErr w:type="spellStart"/>
      <w:r w:rsidRPr="00E5004E">
        <w:rPr>
          <w:iCs/>
          <w:sz w:val="18"/>
          <w:szCs w:val="18"/>
          <w:lang w:eastAsia="en-US"/>
        </w:rPr>
        <w:t>Tobacco</w:t>
      </w:r>
      <w:proofErr w:type="spellEnd"/>
      <w:r w:rsidRPr="00E5004E">
        <w:rPr>
          <w:iCs/>
          <w:sz w:val="18"/>
          <w:szCs w:val="18"/>
          <w:lang w:eastAsia="en-US"/>
        </w:rPr>
        <w:t xml:space="preserve"> </w:t>
      </w:r>
      <w:proofErr w:type="spellStart"/>
      <w:r w:rsidRPr="00E5004E">
        <w:rPr>
          <w:iCs/>
          <w:sz w:val="18"/>
          <w:szCs w:val="18"/>
          <w:lang w:eastAsia="en-US"/>
        </w:rPr>
        <w:t>cultivation</w:t>
      </w:r>
      <w:proofErr w:type="spellEnd"/>
      <w:r w:rsidRPr="00E5004E">
        <w:rPr>
          <w:iCs/>
          <w:sz w:val="18"/>
          <w:szCs w:val="18"/>
          <w:lang w:eastAsia="en-US"/>
        </w:rPr>
        <w:t xml:space="preserve"> and </w:t>
      </w:r>
      <w:proofErr w:type="spellStart"/>
      <w:r w:rsidRPr="00E5004E">
        <w:rPr>
          <w:iCs/>
          <w:sz w:val="18"/>
          <w:szCs w:val="18"/>
          <w:lang w:eastAsia="en-US"/>
        </w:rPr>
        <w:t>production</w:t>
      </w:r>
      <w:proofErr w:type="spellEnd"/>
      <w:r w:rsidRPr="00E5004E">
        <w:rPr>
          <w:iCs/>
          <w:sz w:val="18"/>
          <w:szCs w:val="18"/>
          <w:lang w:eastAsia="en-US"/>
        </w:rPr>
        <w:t xml:space="preserve"> </w:t>
      </w:r>
    </w:p>
    <w:p w14:paraId="469016D9" w14:textId="77777777" w:rsidR="005545A5" w:rsidRPr="00E5004E" w:rsidRDefault="005545A5" w:rsidP="005545A5">
      <w:pPr>
        <w:numPr>
          <w:ilvl w:val="0"/>
          <w:numId w:val="29"/>
        </w:numPr>
        <w:snapToGrid w:val="0"/>
        <w:spacing w:before="0" w:after="200" w:line="276" w:lineRule="auto"/>
        <w:ind w:left="720" w:right="-641"/>
        <w:contextualSpacing/>
        <w:jc w:val="left"/>
        <w:rPr>
          <w:iCs/>
          <w:sz w:val="18"/>
          <w:szCs w:val="18"/>
          <w:lang w:eastAsia="en-US"/>
        </w:rPr>
      </w:pPr>
      <w:proofErr w:type="spellStart"/>
      <w:r w:rsidRPr="00E5004E">
        <w:rPr>
          <w:iCs/>
          <w:sz w:val="18"/>
          <w:szCs w:val="18"/>
          <w:lang w:eastAsia="en-US"/>
        </w:rPr>
        <w:t>Controversial</w:t>
      </w:r>
      <w:proofErr w:type="spellEnd"/>
      <w:r w:rsidRPr="00E5004E">
        <w:rPr>
          <w:iCs/>
          <w:sz w:val="18"/>
          <w:szCs w:val="18"/>
          <w:lang w:eastAsia="en-US"/>
        </w:rPr>
        <w:t xml:space="preserve"> </w:t>
      </w:r>
      <w:proofErr w:type="spellStart"/>
      <w:r w:rsidRPr="00E5004E">
        <w:rPr>
          <w:iCs/>
          <w:sz w:val="18"/>
          <w:szCs w:val="18"/>
          <w:lang w:eastAsia="en-US"/>
        </w:rPr>
        <w:t>weapons</w:t>
      </w:r>
      <w:proofErr w:type="spellEnd"/>
    </w:p>
    <w:p w14:paraId="20C96EA8" w14:textId="77777777" w:rsidR="005545A5" w:rsidRPr="00E5004E" w:rsidRDefault="005545A5" w:rsidP="005545A5">
      <w:pPr>
        <w:numPr>
          <w:ilvl w:val="0"/>
          <w:numId w:val="29"/>
        </w:numPr>
        <w:snapToGrid w:val="0"/>
        <w:spacing w:before="0" w:after="200" w:line="276" w:lineRule="auto"/>
        <w:ind w:left="720" w:right="-641"/>
        <w:jc w:val="left"/>
        <w:rPr>
          <w:iCs/>
          <w:sz w:val="18"/>
          <w:szCs w:val="18"/>
          <w:lang w:eastAsia="en-US"/>
        </w:rPr>
      </w:pPr>
      <w:r w:rsidRPr="00E5004E">
        <w:rPr>
          <w:iCs/>
          <w:sz w:val="18"/>
          <w:szCs w:val="18"/>
          <w:lang w:eastAsia="en-US"/>
        </w:rPr>
        <w:t xml:space="preserve">UNGC </w:t>
      </w:r>
      <w:proofErr w:type="spellStart"/>
      <w:r w:rsidRPr="00E5004E">
        <w:rPr>
          <w:iCs/>
          <w:sz w:val="18"/>
          <w:szCs w:val="18"/>
          <w:lang w:eastAsia="en-US"/>
        </w:rPr>
        <w:t>violators</w:t>
      </w:r>
      <w:proofErr w:type="spellEnd"/>
    </w:p>
    <w:p w14:paraId="6AA6E51E" w14:textId="77777777" w:rsidR="005545A5" w:rsidRPr="008357BE" w:rsidRDefault="005545A5" w:rsidP="005545A5">
      <w:pPr>
        <w:snapToGrid w:val="0"/>
        <w:spacing w:after="200" w:line="276" w:lineRule="auto"/>
        <w:ind w:right="-641"/>
        <w:rPr>
          <w:iCs/>
          <w:sz w:val="14"/>
          <w:szCs w:val="14"/>
          <w:lang w:eastAsia="en-US"/>
        </w:rPr>
      </w:pPr>
      <w:r w:rsidRPr="008357BE">
        <w:rPr>
          <w:iCs/>
          <w:sz w:val="14"/>
          <w:szCs w:val="14"/>
          <w:lang w:eastAsia="en-US"/>
        </w:rPr>
        <w:t>*“</w:t>
      </w:r>
      <w:proofErr w:type="spellStart"/>
      <w:r w:rsidRPr="008357BE">
        <w:rPr>
          <w:iCs/>
          <w:sz w:val="14"/>
          <w:szCs w:val="14"/>
          <w:lang w:eastAsia="en-US"/>
        </w:rPr>
        <w:t>Weighted</w:t>
      </w:r>
      <w:proofErr w:type="spellEnd"/>
      <w:r w:rsidRPr="008357BE">
        <w:rPr>
          <w:iCs/>
          <w:sz w:val="14"/>
          <w:szCs w:val="14"/>
          <w:lang w:eastAsia="en-US"/>
        </w:rPr>
        <w:t xml:space="preserve"> </w:t>
      </w:r>
      <w:proofErr w:type="spellStart"/>
      <w:r w:rsidRPr="008357BE">
        <w:rPr>
          <w:iCs/>
          <w:sz w:val="14"/>
          <w:szCs w:val="14"/>
          <w:lang w:eastAsia="en-US"/>
        </w:rPr>
        <w:t>Average</w:t>
      </w:r>
      <w:proofErr w:type="spellEnd"/>
      <w:r w:rsidRPr="008357BE">
        <w:rPr>
          <w:iCs/>
          <w:sz w:val="14"/>
          <w:szCs w:val="14"/>
          <w:lang w:eastAsia="en-US"/>
        </w:rPr>
        <w:t xml:space="preserve"> </w:t>
      </w:r>
      <w:proofErr w:type="spellStart"/>
      <w:r w:rsidRPr="008357BE">
        <w:rPr>
          <w:iCs/>
          <w:sz w:val="14"/>
          <w:szCs w:val="14"/>
          <w:lang w:eastAsia="en-US"/>
        </w:rPr>
        <w:t>Carbon</w:t>
      </w:r>
      <w:proofErr w:type="spellEnd"/>
      <w:r w:rsidRPr="008357BE">
        <w:rPr>
          <w:iCs/>
          <w:sz w:val="14"/>
          <w:szCs w:val="14"/>
          <w:lang w:eastAsia="en-US"/>
        </w:rPr>
        <w:t xml:space="preserve"> Intensity”: </w:t>
      </w:r>
      <w:proofErr w:type="spellStart"/>
      <w:r w:rsidRPr="008357BE">
        <w:rPr>
          <w:iCs/>
          <w:sz w:val="14"/>
          <w:szCs w:val="14"/>
          <w:lang w:eastAsia="en-US"/>
        </w:rPr>
        <w:t>the</w:t>
      </w:r>
      <w:proofErr w:type="spellEnd"/>
      <w:r w:rsidRPr="008357BE">
        <w:rPr>
          <w:iCs/>
          <w:sz w:val="14"/>
          <w:szCs w:val="14"/>
          <w:lang w:eastAsia="en-US"/>
        </w:rPr>
        <w:t xml:space="preserve"> sum </w:t>
      </w:r>
      <w:proofErr w:type="spellStart"/>
      <w:r w:rsidRPr="008357BE">
        <w:rPr>
          <w:iCs/>
          <w:sz w:val="14"/>
          <w:szCs w:val="14"/>
          <w:lang w:eastAsia="en-US"/>
        </w:rPr>
        <w:t>of</w:t>
      </w:r>
      <w:proofErr w:type="spellEnd"/>
      <w:r w:rsidRPr="008357BE">
        <w:rPr>
          <w:iCs/>
          <w:sz w:val="14"/>
          <w:szCs w:val="14"/>
          <w:lang w:eastAsia="en-US"/>
        </w:rPr>
        <w:t xml:space="preserve"> </w:t>
      </w:r>
      <w:proofErr w:type="spellStart"/>
      <w:r w:rsidRPr="008357BE">
        <w:rPr>
          <w:iCs/>
          <w:sz w:val="14"/>
          <w:szCs w:val="14"/>
          <w:lang w:eastAsia="en-US"/>
        </w:rPr>
        <w:t>each</w:t>
      </w:r>
      <w:proofErr w:type="spellEnd"/>
      <w:r w:rsidRPr="008357BE">
        <w:rPr>
          <w:iCs/>
          <w:sz w:val="14"/>
          <w:szCs w:val="14"/>
          <w:lang w:eastAsia="en-US"/>
        </w:rPr>
        <w:t xml:space="preserve"> index </w:t>
      </w:r>
      <w:proofErr w:type="spellStart"/>
      <w:r w:rsidRPr="008357BE">
        <w:rPr>
          <w:iCs/>
          <w:sz w:val="14"/>
          <w:szCs w:val="14"/>
          <w:lang w:eastAsia="en-US"/>
        </w:rPr>
        <w:t>weight</w:t>
      </w:r>
      <w:proofErr w:type="spellEnd"/>
      <w:r w:rsidRPr="008357BE">
        <w:rPr>
          <w:iCs/>
          <w:sz w:val="14"/>
          <w:szCs w:val="14"/>
          <w:lang w:eastAsia="en-US"/>
        </w:rPr>
        <w:t xml:space="preserve"> </w:t>
      </w:r>
      <w:proofErr w:type="spellStart"/>
      <w:r w:rsidRPr="008357BE">
        <w:rPr>
          <w:iCs/>
          <w:sz w:val="14"/>
          <w:szCs w:val="14"/>
          <w:lang w:eastAsia="en-US"/>
        </w:rPr>
        <w:t>multiplied</w:t>
      </w:r>
      <w:proofErr w:type="spellEnd"/>
      <w:r w:rsidRPr="008357BE">
        <w:rPr>
          <w:iCs/>
          <w:sz w:val="14"/>
          <w:szCs w:val="14"/>
          <w:lang w:eastAsia="en-US"/>
        </w:rPr>
        <w:t xml:space="preserve"> by </w:t>
      </w:r>
      <w:proofErr w:type="spellStart"/>
      <w:r w:rsidRPr="008357BE">
        <w:rPr>
          <w:iCs/>
          <w:sz w:val="14"/>
          <w:szCs w:val="14"/>
          <w:lang w:eastAsia="en-US"/>
        </w:rPr>
        <w:t>the</w:t>
      </w:r>
      <w:proofErr w:type="spellEnd"/>
      <w:r w:rsidRPr="008357BE">
        <w:rPr>
          <w:iCs/>
          <w:sz w:val="14"/>
          <w:szCs w:val="14"/>
          <w:lang w:eastAsia="en-US"/>
        </w:rPr>
        <w:t xml:space="preserve"> Co2e per $M </w:t>
      </w:r>
      <w:proofErr w:type="spellStart"/>
      <w:r w:rsidRPr="008357BE">
        <w:rPr>
          <w:iCs/>
          <w:sz w:val="14"/>
          <w:szCs w:val="14"/>
          <w:lang w:eastAsia="en-US"/>
        </w:rPr>
        <w:t>of</w:t>
      </w:r>
      <w:proofErr w:type="spellEnd"/>
      <w:r w:rsidRPr="008357BE">
        <w:rPr>
          <w:iCs/>
          <w:sz w:val="14"/>
          <w:szCs w:val="14"/>
          <w:lang w:eastAsia="en-US"/>
        </w:rPr>
        <w:t xml:space="preserve"> </w:t>
      </w:r>
      <w:proofErr w:type="spellStart"/>
      <w:r w:rsidRPr="008357BE">
        <w:rPr>
          <w:iCs/>
          <w:sz w:val="14"/>
          <w:szCs w:val="14"/>
          <w:lang w:eastAsia="en-US"/>
        </w:rPr>
        <w:t>Revenue</w:t>
      </w:r>
      <w:proofErr w:type="spellEnd"/>
      <w:r w:rsidRPr="008357BE">
        <w:rPr>
          <w:iCs/>
          <w:sz w:val="14"/>
          <w:szCs w:val="14"/>
          <w:lang w:eastAsia="en-US"/>
        </w:rPr>
        <w:t xml:space="preserve"> </w:t>
      </w:r>
      <w:proofErr w:type="spellStart"/>
      <w:r w:rsidRPr="008357BE">
        <w:rPr>
          <w:iCs/>
          <w:sz w:val="14"/>
          <w:szCs w:val="14"/>
          <w:lang w:eastAsia="en-US"/>
        </w:rPr>
        <w:t>of</w:t>
      </w:r>
      <w:proofErr w:type="spellEnd"/>
      <w:r w:rsidRPr="008357BE">
        <w:rPr>
          <w:iCs/>
          <w:sz w:val="14"/>
          <w:szCs w:val="14"/>
          <w:lang w:eastAsia="en-US"/>
        </w:rPr>
        <w:t xml:space="preserve"> </w:t>
      </w:r>
      <w:proofErr w:type="spellStart"/>
      <w:r w:rsidRPr="008357BE">
        <w:rPr>
          <w:iCs/>
          <w:sz w:val="14"/>
          <w:szCs w:val="14"/>
          <w:lang w:eastAsia="en-US"/>
        </w:rPr>
        <w:t>each</w:t>
      </w:r>
      <w:proofErr w:type="spellEnd"/>
      <w:r w:rsidRPr="008357BE">
        <w:rPr>
          <w:iCs/>
          <w:sz w:val="14"/>
          <w:szCs w:val="14"/>
          <w:lang w:eastAsia="en-US"/>
        </w:rPr>
        <w:t xml:space="preserve"> holding. </w:t>
      </w:r>
      <w:proofErr w:type="spellStart"/>
      <w:r w:rsidRPr="008357BE">
        <w:rPr>
          <w:iCs/>
          <w:sz w:val="14"/>
          <w:szCs w:val="14"/>
          <w:lang w:eastAsia="en-US"/>
        </w:rPr>
        <w:t>This</w:t>
      </w:r>
      <w:proofErr w:type="spellEnd"/>
      <w:r w:rsidRPr="008357BE">
        <w:rPr>
          <w:iCs/>
          <w:sz w:val="14"/>
          <w:szCs w:val="14"/>
          <w:lang w:eastAsia="en-US"/>
        </w:rPr>
        <w:t xml:space="preserve"> </w:t>
      </w:r>
      <w:proofErr w:type="spellStart"/>
      <w:r w:rsidRPr="008357BE">
        <w:rPr>
          <w:iCs/>
          <w:sz w:val="14"/>
          <w:szCs w:val="14"/>
          <w:lang w:eastAsia="en-US"/>
        </w:rPr>
        <w:t>metric</w:t>
      </w:r>
      <w:proofErr w:type="spellEnd"/>
      <w:r w:rsidRPr="008357BE">
        <w:rPr>
          <w:iCs/>
          <w:sz w:val="14"/>
          <w:szCs w:val="14"/>
          <w:lang w:eastAsia="en-US"/>
        </w:rPr>
        <w:t xml:space="preserve"> </w:t>
      </w:r>
      <w:proofErr w:type="spellStart"/>
      <w:r w:rsidRPr="008357BE">
        <w:rPr>
          <w:iCs/>
          <w:sz w:val="14"/>
          <w:szCs w:val="14"/>
          <w:lang w:eastAsia="en-US"/>
        </w:rPr>
        <w:t>provides</w:t>
      </w:r>
      <w:proofErr w:type="spellEnd"/>
      <w:r w:rsidRPr="008357BE">
        <w:rPr>
          <w:iCs/>
          <w:sz w:val="14"/>
          <w:szCs w:val="14"/>
          <w:lang w:eastAsia="en-US"/>
        </w:rPr>
        <w:t xml:space="preserve"> a </w:t>
      </w:r>
      <w:proofErr w:type="spellStart"/>
      <w:r w:rsidRPr="008357BE">
        <w:rPr>
          <w:iCs/>
          <w:sz w:val="14"/>
          <w:szCs w:val="14"/>
          <w:lang w:eastAsia="en-US"/>
        </w:rPr>
        <w:t>snapshot</w:t>
      </w:r>
      <w:proofErr w:type="spellEnd"/>
      <w:r w:rsidRPr="008357BE">
        <w:rPr>
          <w:iCs/>
          <w:sz w:val="14"/>
          <w:szCs w:val="14"/>
          <w:lang w:eastAsia="en-US"/>
        </w:rPr>
        <w:t xml:space="preserve"> </w:t>
      </w:r>
      <w:proofErr w:type="spellStart"/>
      <w:r w:rsidRPr="008357BE">
        <w:rPr>
          <w:iCs/>
          <w:sz w:val="14"/>
          <w:szCs w:val="14"/>
          <w:lang w:eastAsia="en-US"/>
        </w:rPr>
        <w:t>of</w:t>
      </w:r>
      <w:proofErr w:type="spellEnd"/>
      <w:r w:rsidRPr="008357BE">
        <w:rPr>
          <w:iCs/>
          <w:sz w:val="14"/>
          <w:szCs w:val="14"/>
          <w:lang w:eastAsia="en-US"/>
        </w:rPr>
        <w:t xml:space="preserve"> </w:t>
      </w:r>
      <w:proofErr w:type="spellStart"/>
      <w:r w:rsidRPr="008357BE">
        <w:rPr>
          <w:iCs/>
          <w:sz w:val="14"/>
          <w:szCs w:val="14"/>
          <w:lang w:eastAsia="en-US"/>
        </w:rPr>
        <w:t>the</w:t>
      </w:r>
      <w:proofErr w:type="spellEnd"/>
      <w:r w:rsidRPr="008357BE">
        <w:rPr>
          <w:iCs/>
          <w:sz w:val="14"/>
          <w:szCs w:val="14"/>
          <w:lang w:eastAsia="en-US"/>
        </w:rPr>
        <w:t xml:space="preserve"> index </w:t>
      </w:r>
      <w:proofErr w:type="spellStart"/>
      <w:r w:rsidRPr="008357BE">
        <w:rPr>
          <w:iCs/>
          <w:sz w:val="14"/>
          <w:szCs w:val="14"/>
          <w:lang w:eastAsia="en-US"/>
        </w:rPr>
        <w:t>exposure</w:t>
      </w:r>
      <w:proofErr w:type="spellEnd"/>
      <w:r w:rsidRPr="008357BE">
        <w:rPr>
          <w:iCs/>
          <w:sz w:val="14"/>
          <w:szCs w:val="14"/>
          <w:lang w:eastAsia="en-US"/>
        </w:rPr>
        <w:t xml:space="preserve"> to </w:t>
      </w:r>
      <w:proofErr w:type="spellStart"/>
      <w:r w:rsidRPr="008357BE">
        <w:rPr>
          <w:iCs/>
          <w:sz w:val="14"/>
          <w:szCs w:val="14"/>
          <w:lang w:eastAsia="en-US"/>
        </w:rPr>
        <w:t>carbon-intensive</w:t>
      </w:r>
      <w:proofErr w:type="spellEnd"/>
      <w:r w:rsidRPr="008357BE">
        <w:rPr>
          <w:iCs/>
          <w:sz w:val="14"/>
          <w:szCs w:val="14"/>
          <w:lang w:eastAsia="en-US"/>
        </w:rPr>
        <w:t xml:space="preserve"> </w:t>
      </w:r>
      <w:proofErr w:type="spellStart"/>
      <w:r w:rsidRPr="008357BE">
        <w:rPr>
          <w:iCs/>
          <w:sz w:val="14"/>
          <w:szCs w:val="14"/>
          <w:lang w:eastAsia="en-US"/>
        </w:rPr>
        <w:t>companies</w:t>
      </w:r>
      <w:proofErr w:type="spellEnd"/>
      <w:r w:rsidRPr="008357BE">
        <w:rPr>
          <w:iCs/>
          <w:sz w:val="14"/>
          <w:szCs w:val="14"/>
          <w:lang w:eastAsia="en-US"/>
        </w:rPr>
        <w:t xml:space="preserve"> and </w:t>
      </w:r>
      <w:proofErr w:type="spellStart"/>
      <w:r w:rsidRPr="008357BE">
        <w:rPr>
          <w:iCs/>
          <w:sz w:val="14"/>
          <w:szCs w:val="14"/>
          <w:lang w:eastAsia="en-US"/>
        </w:rPr>
        <w:t>includes</w:t>
      </w:r>
      <w:proofErr w:type="spellEnd"/>
      <w:r w:rsidRPr="008357BE">
        <w:rPr>
          <w:iCs/>
          <w:sz w:val="14"/>
          <w:szCs w:val="14"/>
          <w:lang w:eastAsia="en-US"/>
        </w:rPr>
        <w:t xml:space="preserve"> </w:t>
      </w:r>
      <w:proofErr w:type="spellStart"/>
      <w:r w:rsidRPr="008357BE">
        <w:rPr>
          <w:iCs/>
          <w:sz w:val="14"/>
          <w:szCs w:val="14"/>
          <w:lang w:eastAsia="en-US"/>
        </w:rPr>
        <w:t>scope</w:t>
      </w:r>
      <w:proofErr w:type="spellEnd"/>
      <w:r w:rsidRPr="008357BE">
        <w:rPr>
          <w:iCs/>
          <w:sz w:val="14"/>
          <w:szCs w:val="14"/>
          <w:lang w:eastAsia="en-US"/>
        </w:rPr>
        <w:t xml:space="preserve"> 1 and </w:t>
      </w:r>
      <w:proofErr w:type="spellStart"/>
      <w:r w:rsidRPr="008357BE">
        <w:rPr>
          <w:iCs/>
          <w:sz w:val="14"/>
          <w:szCs w:val="14"/>
          <w:lang w:eastAsia="en-US"/>
        </w:rPr>
        <w:t>scope</w:t>
      </w:r>
      <w:proofErr w:type="spellEnd"/>
      <w:r w:rsidRPr="008357BE">
        <w:rPr>
          <w:iCs/>
          <w:sz w:val="14"/>
          <w:szCs w:val="14"/>
          <w:lang w:eastAsia="en-US"/>
        </w:rPr>
        <w:t xml:space="preserve"> 2 </w:t>
      </w:r>
      <w:proofErr w:type="spellStart"/>
      <w:r w:rsidRPr="008357BE">
        <w:rPr>
          <w:iCs/>
          <w:sz w:val="14"/>
          <w:szCs w:val="14"/>
          <w:lang w:eastAsia="en-US"/>
        </w:rPr>
        <w:t>carbon</w:t>
      </w:r>
      <w:proofErr w:type="spellEnd"/>
      <w:r w:rsidRPr="008357BE">
        <w:rPr>
          <w:iCs/>
          <w:sz w:val="14"/>
          <w:szCs w:val="14"/>
          <w:lang w:eastAsia="en-US"/>
        </w:rPr>
        <w:t xml:space="preserve"> </w:t>
      </w:r>
      <w:proofErr w:type="spellStart"/>
      <w:r w:rsidRPr="008357BE">
        <w:rPr>
          <w:iCs/>
          <w:sz w:val="14"/>
          <w:szCs w:val="14"/>
          <w:lang w:eastAsia="en-US"/>
        </w:rPr>
        <w:t>emissions</w:t>
      </w:r>
      <w:proofErr w:type="spellEnd"/>
      <w:r w:rsidRPr="008357BE">
        <w:rPr>
          <w:iCs/>
          <w:sz w:val="14"/>
          <w:szCs w:val="14"/>
          <w:lang w:eastAsia="en-US"/>
        </w:rPr>
        <w:t>. </w:t>
      </w:r>
    </w:p>
    <w:p w14:paraId="7FD03F02" w14:textId="77777777" w:rsidR="005545A5" w:rsidRPr="00226D28" w:rsidRDefault="005545A5" w:rsidP="00226D28">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w:t>
      </w:r>
      <w:r w:rsidRPr="00D404D5">
        <w:rPr>
          <w:color w:val="000000"/>
          <w:lang w:eastAsia="en-US"/>
        </w:rPr>
        <w:lastRenderedPageBreak/>
        <w:t xml:space="preserve">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 xml:space="preserve">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C5BD8AE" w14:textId="35F1404F" w:rsidR="00555D64" w:rsidRDefault="0012091C" w:rsidP="0012091C">
      <w:pPr>
        <w:pStyle w:val="F2-zkladn"/>
      </w:pPr>
      <w:r>
        <w:rPr>
          <w:sz w:val="22"/>
          <w:szCs w:val="22"/>
          <w:lang w:val="de-AT" w:eastAsia="zh-CN"/>
        </w:rPr>
        <w:t>MKAT11876</w:t>
      </w:r>
    </w:p>
    <w:sectPr w:rsidR="00555D6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CD72" w14:textId="77777777" w:rsidR="00EB6DDD" w:rsidRDefault="00EB6DDD">
      <w:r>
        <w:separator/>
      </w:r>
    </w:p>
  </w:endnote>
  <w:endnote w:type="continuationSeparator" w:id="0">
    <w:p w14:paraId="619FBBDE" w14:textId="77777777" w:rsidR="00EB6DDD" w:rsidRDefault="00EB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8CA4" w14:textId="77777777" w:rsidR="00EB6DDD" w:rsidRDefault="00EB6DDD">
      <w:r>
        <w:separator/>
      </w:r>
    </w:p>
  </w:footnote>
  <w:footnote w:type="continuationSeparator" w:id="0">
    <w:p w14:paraId="6998C403" w14:textId="77777777" w:rsidR="00EB6DDD" w:rsidRDefault="00EB6DDD">
      <w:r>
        <w:continuationSeparator/>
      </w:r>
    </w:p>
  </w:footnote>
  <w:footnote w:type="continuationNotice" w:id="1">
    <w:p w14:paraId="5790E982" w14:textId="77777777" w:rsidR="00EB6DDD" w:rsidRDefault="00EB6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5"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6"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5"/>
  </w:num>
  <w:num w:numId="3" w16cid:durableId="1582174134">
    <w:abstractNumId w:val="28"/>
  </w:num>
  <w:num w:numId="4" w16cid:durableId="1727561179">
    <w:abstractNumId w:val="20"/>
  </w:num>
  <w:num w:numId="5" w16cid:durableId="56979214">
    <w:abstractNumId w:val="21"/>
  </w:num>
  <w:num w:numId="6" w16cid:durableId="52699439">
    <w:abstractNumId w:val="18"/>
  </w:num>
  <w:num w:numId="7" w16cid:durableId="1526748972">
    <w:abstractNumId w:val="27"/>
  </w:num>
  <w:num w:numId="8" w16cid:durableId="1090007024">
    <w:abstractNumId w:val="22"/>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4"/>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6"/>
  </w:num>
  <w:num w:numId="27" w16cid:durableId="339890089">
    <w:abstractNumId w:val="23"/>
  </w:num>
  <w:num w:numId="28" w16cid:durableId="571113239">
    <w:abstractNumId w:val="17"/>
  </w:num>
  <w:num w:numId="29" w16cid:durableId="19618421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50E8"/>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wc.ie/media-centre/press-releases/2023/etfs-2027.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1653</Words>
  <Characters>9758</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11389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Vendula Matějková</cp:lastModifiedBy>
  <cp:revision>4</cp:revision>
  <cp:lastPrinted>2015-11-30T16:29:00Z</cp:lastPrinted>
  <dcterms:created xsi:type="dcterms:W3CDTF">2023-11-22T13:23:00Z</dcterms:created>
  <dcterms:modified xsi:type="dcterms:W3CDTF">2023-11-22T13:40:00Z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